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2AB8C" w14:textId="1F8FF74B" w:rsidR="008506EB" w:rsidRPr="00F457DD" w:rsidRDefault="006E0F4D" w:rsidP="00724FC2">
      <w:pPr>
        <w:suppressAutoHyphens/>
        <w:jc w:val="center"/>
        <w:rPr>
          <w:rFonts w:ascii="Times New Roman Bold" w:hAnsi="Times New Roman Bold" w:cs="Times New Roman"/>
          <w:b/>
          <w:sz w:val="48"/>
          <w:szCs w:val="48"/>
          <w:lang w:val="es-ES" w:eastAsia="en-US"/>
        </w:rPr>
      </w:pPr>
      <w:bookmarkStart w:id="0" w:name="_GoBack"/>
      <w:bookmarkEnd w:id="0"/>
      <w:r w:rsidRPr="00F457DD">
        <w:rPr>
          <w:rFonts w:ascii="Times New Roman Bold" w:hAnsi="Times New Roman Bold" w:cs="Times New Roman"/>
          <w:b/>
          <w:sz w:val="48"/>
          <w:szCs w:val="48"/>
          <w:lang w:val="es-ES" w:eastAsia="en-US"/>
        </w:rPr>
        <w:t>Documentos Estándar de</w:t>
      </w:r>
      <w:r w:rsidR="008506EB" w:rsidRPr="00F457DD">
        <w:rPr>
          <w:rFonts w:ascii="Times New Roman Bold" w:hAnsi="Times New Roman Bold" w:cs="Times New Roman"/>
          <w:b/>
          <w:sz w:val="48"/>
          <w:szCs w:val="48"/>
          <w:lang w:val="es-ES" w:eastAsia="en-US"/>
        </w:rPr>
        <w:t xml:space="preserve"> </w:t>
      </w:r>
      <w:r w:rsidR="009F6E9A">
        <w:rPr>
          <w:rFonts w:ascii="Times New Roman Bold" w:hAnsi="Times New Roman Bold" w:cs="Times New Roman"/>
          <w:b/>
          <w:sz w:val="48"/>
          <w:szCs w:val="48"/>
          <w:lang w:val="es-ES" w:eastAsia="en-US"/>
        </w:rPr>
        <w:t>Adquisiciones</w:t>
      </w:r>
    </w:p>
    <w:p w14:paraId="0689E425" w14:textId="1F5F2BF0" w:rsidR="008506EB" w:rsidRPr="00052DD1" w:rsidRDefault="008506EB" w:rsidP="00724FC2">
      <w:pPr>
        <w:suppressAutoHyphens/>
        <w:jc w:val="center"/>
        <w:rPr>
          <w:rFonts w:ascii="Times New Roman Bold" w:hAnsi="Times New Roman Bold" w:cs="Times New Roman"/>
          <w:b/>
          <w:sz w:val="72"/>
          <w:szCs w:val="72"/>
          <w:lang w:val="es-ES" w:eastAsia="en-US"/>
        </w:rPr>
      </w:pPr>
    </w:p>
    <w:p w14:paraId="544EF4E2" w14:textId="77777777" w:rsidR="008506EB" w:rsidRDefault="008506EB" w:rsidP="00724FC2">
      <w:pPr>
        <w:suppressAutoHyphens/>
        <w:jc w:val="center"/>
        <w:rPr>
          <w:rFonts w:ascii="Times New Roman Bold" w:hAnsi="Times New Roman Bold" w:cs="Times New Roman"/>
          <w:b/>
          <w:sz w:val="72"/>
          <w:szCs w:val="72"/>
          <w:lang w:val="es-ES" w:eastAsia="en-US"/>
        </w:rPr>
      </w:pPr>
    </w:p>
    <w:p w14:paraId="40972C62" w14:textId="77777777" w:rsidR="00F457DD" w:rsidRPr="00052DD1" w:rsidRDefault="00F457DD" w:rsidP="00724FC2">
      <w:pPr>
        <w:suppressAutoHyphens/>
        <w:jc w:val="center"/>
        <w:rPr>
          <w:rFonts w:ascii="Times New Roman Bold" w:hAnsi="Times New Roman Bold" w:cs="Times New Roman"/>
          <w:b/>
          <w:sz w:val="72"/>
          <w:szCs w:val="72"/>
          <w:lang w:val="es-ES" w:eastAsia="en-US"/>
        </w:rPr>
      </w:pPr>
    </w:p>
    <w:p w14:paraId="7C2CD0B5" w14:textId="708EC458" w:rsidR="00724FC2" w:rsidRPr="00A435F3" w:rsidRDefault="00550427" w:rsidP="007E35C0">
      <w:pPr>
        <w:suppressAutoHyphens/>
        <w:jc w:val="center"/>
        <w:rPr>
          <w:rFonts w:ascii="Times" w:eastAsia="Times" w:hAnsi="Times" w:cs="Times"/>
          <w:b/>
          <w:bCs/>
          <w:color w:val="1F497C"/>
          <w:sz w:val="84"/>
          <w:szCs w:val="84"/>
          <w:lang w:val="es-ES" w:eastAsia="es-MX"/>
        </w:rPr>
      </w:pPr>
      <w:r w:rsidRPr="00A435F3">
        <w:rPr>
          <w:rFonts w:ascii="Times" w:eastAsia="Times" w:hAnsi="Times" w:cs="Times"/>
          <w:b/>
          <w:bCs/>
          <w:color w:val="1F497C"/>
          <w:sz w:val="84"/>
          <w:szCs w:val="84"/>
          <w:lang w:val="es-ES" w:eastAsia="es-MX"/>
        </w:rPr>
        <w:t>Plan de</w:t>
      </w:r>
      <w:r w:rsidR="00724FC2" w:rsidRPr="00A435F3">
        <w:rPr>
          <w:rFonts w:ascii="Times" w:eastAsia="Times" w:hAnsi="Times" w:cs="Times"/>
          <w:b/>
          <w:bCs/>
          <w:color w:val="1F497C"/>
          <w:sz w:val="84"/>
          <w:szCs w:val="84"/>
          <w:lang w:val="es-ES" w:eastAsia="es-MX"/>
        </w:rPr>
        <w:t xml:space="preserve"> Ad</w:t>
      </w:r>
      <w:r w:rsidR="007E35C0" w:rsidRPr="00A435F3">
        <w:rPr>
          <w:rFonts w:ascii="Times" w:eastAsia="Times" w:hAnsi="Times" w:cs="Times"/>
          <w:b/>
          <w:bCs/>
          <w:color w:val="1F497C"/>
          <w:sz w:val="84"/>
          <w:szCs w:val="84"/>
          <w:lang w:val="es-ES" w:eastAsia="es-MX"/>
        </w:rPr>
        <w:t xml:space="preserve">quisiciones </w:t>
      </w:r>
    </w:p>
    <w:p w14:paraId="5E4FBBF1" w14:textId="77777777" w:rsidR="00724FC2" w:rsidRPr="00A435F3" w:rsidRDefault="00724FC2" w:rsidP="00724FC2">
      <w:pPr>
        <w:suppressAutoHyphens/>
        <w:jc w:val="both"/>
        <w:rPr>
          <w:rFonts w:cs="Times New Roman"/>
          <w:szCs w:val="20"/>
          <w:lang w:val="es-ES" w:eastAsia="en-US"/>
        </w:rPr>
      </w:pPr>
    </w:p>
    <w:p w14:paraId="33EA070F" w14:textId="77777777" w:rsidR="00724FC2" w:rsidRPr="00A435F3" w:rsidRDefault="00724FC2" w:rsidP="00724FC2">
      <w:pPr>
        <w:suppressAutoHyphens/>
        <w:jc w:val="both"/>
        <w:rPr>
          <w:rFonts w:cs="Times New Roman"/>
          <w:szCs w:val="20"/>
          <w:lang w:val="es-ES" w:eastAsia="en-US"/>
        </w:rPr>
      </w:pPr>
    </w:p>
    <w:p w14:paraId="3CD2F0E0" w14:textId="77777777" w:rsidR="00F457DD" w:rsidRPr="00A435F3" w:rsidRDefault="00F457DD" w:rsidP="00F457DD">
      <w:pPr>
        <w:suppressAutoHyphens/>
        <w:jc w:val="center"/>
        <w:rPr>
          <w:rFonts w:ascii="Times" w:eastAsia="Times" w:hAnsi="Times" w:cs="Times"/>
          <w:b/>
          <w:bCs/>
          <w:color w:val="1F497C"/>
          <w:sz w:val="84"/>
          <w:szCs w:val="84"/>
          <w:lang w:val="es-ES" w:eastAsia="es-MX"/>
        </w:rPr>
      </w:pPr>
    </w:p>
    <w:p w14:paraId="036F93BA" w14:textId="77777777" w:rsidR="00F457DD" w:rsidRPr="00A435F3" w:rsidRDefault="00F457DD" w:rsidP="00F457DD">
      <w:pPr>
        <w:suppressAutoHyphens/>
        <w:jc w:val="center"/>
        <w:rPr>
          <w:rFonts w:ascii="Times" w:eastAsia="Times" w:hAnsi="Times" w:cs="Times"/>
          <w:b/>
          <w:bCs/>
          <w:color w:val="1F497C"/>
          <w:sz w:val="84"/>
          <w:szCs w:val="84"/>
          <w:lang w:val="es-ES" w:eastAsia="es-MX"/>
        </w:rPr>
      </w:pPr>
    </w:p>
    <w:p w14:paraId="6A82EB95" w14:textId="77777777" w:rsidR="00F457DD" w:rsidRPr="00A435F3" w:rsidRDefault="00F457DD" w:rsidP="00F457DD">
      <w:pPr>
        <w:suppressAutoHyphens/>
        <w:jc w:val="center"/>
        <w:rPr>
          <w:rFonts w:ascii="Times" w:eastAsia="Times" w:hAnsi="Times" w:cs="Times"/>
          <w:b/>
          <w:bCs/>
          <w:color w:val="1F497C"/>
          <w:sz w:val="84"/>
          <w:szCs w:val="84"/>
          <w:lang w:val="es-ES" w:eastAsia="es-MX"/>
        </w:rPr>
      </w:pPr>
    </w:p>
    <w:p w14:paraId="3C1D8E68" w14:textId="77777777" w:rsidR="00CB136B" w:rsidRPr="00784E2E" w:rsidRDefault="00CB136B" w:rsidP="00CB136B">
      <w:pPr>
        <w:suppressAutoHyphens/>
        <w:jc w:val="center"/>
        <w:rPr>
          <w:rFonts w:cs="Times New Roman"/>
          <w:b/>
          <w:sz w:val="48"/>
          <w:szCs w:val="48"/>
        </w:rPr>
      </w:pPr>
      <w:r w:rsidRPr="00784E2E">
        <w:rPr>
          <w:rFonts w:cs="Times New Roman"/>
          <w:b/>
          <w:sz w:val="48"/>
          <w:szCs w:val="48"/>
        </w:rPr>
        <w:t>Agence Française de Développement</w:t>
      </w:r>
    </w:p>
    <w:p w14:paraId="54ECFA9B" w14:textId="77777777" w:rsidR="00CB136B" w:rsidRPr="00D1232D" w:rsidRDefault="00CB136B" w:rsidP="00CB136B">
      <w:pPr>
        <w:suppressAutoHyphens/>
        <w:jc w:val="center"/>
        <w:rPr>
          <w:rFonts w:cs="Times New Roman"/>
          <w:b/>
          <w:sz w:val="36"/>
          <w:szCs w:val="36"/>
        </w:rPr>
      </w:pPr>
      <w:r>
        <w:rPr>
          <w:noProof/>
        </w:rPr>
        <w:drawing>
          <wp:inline distT="0" distB="0" distL="0" distR="0" wp14:anchorId="2256E972" wp14:editId="7B468BC8">
            <wp:extent cx="2266950" cy="1181100"/>
            <wp:effectExtent l="0" t="0" r="0" b="0"/>
            <wp:docPr id="1" name="Image 1" descr="cid:image001.png@01D254A6.E98AFCB0"/>
            <wp:cNvGraphicFramePr/>
            <a:graphic xmlns:a="http://schemas.openxmlformats.org/drawingml/2006/main">
              <a:graphicData uri="http://schemas.openxmlformats.org/drawingml/2006/picture">
                <pic:pic xmlns:pic="http://schemas.openxmlformats.org/drawingml/2006/picture">
                  <pic:nvPicPr>
                    <pic:cNvPr id="1" name="Image 1" descr="cid:image001.png@01D254A6.E98AFCB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981" cy="1183200"/>
                    </a:xfrm>
                    <a:prstGeom prst="rect">
                      <a:avLst/>
                    </a:prstGeom>
                    <a:noFill/>
                    <a:ln>
                      <a:noFill/>
                    </a:ln>
                  </pic:spPr>
                </pic:pic>
              </a:graphicData>
            </a:graphic>
          </wp:inline>
        </w:drawing>
      </w:r>
    </w:p>
    <w:p w14:paraId="5E09DCAC" w14:textId="7D2CD5BB" w:rsidR="00A37F63" w:rsidRPr="00AD2EF9" w:rsidRDefault="00A435F3" w:rsidP="00F457DD">
      <w:pPr>
        <w:suppressAutoHyphens/>
        <w:jc w:val="center"/>
        <w:rPr>
          <w:rFonts w:cs="Times New Roman"/>
          <w:b/>
          <w:sz w:val="36"/>
          <w:szCs w:val="36"/>
          <w:lang w:val="es-ES" w:eastAsia="en-US"/>
        </w:rPr>
      </w:pPr>
      <w:r>
        <w:rPr>
          <w:rFonts w:cs="Times New Roman"/>
          <w:b/>
          <w:sz w:val="36"/>
          <w:szCs w:val="36"/>
          <w:lang w:val="es-ES" w:eastAsia="en-US"/>
        </w:rPr>
        <w:t>Febrero</w:t>
      </w:r>
      <w:r w:rsidRPr="00AD2EF9">
        <w:rPr>
          <w:rFonts w:cs="Times New Roman"/>
          <w:b/>
          <w:sz w:val="36"/>
          <w:szCs w:val="36"/>
          <w:lang w:val="es-ES" w:eastAsia="en-US"/>
        </w:rPr>
        <w:t xml:space="preserve"> </w:t>
      </w:r>
      <w:r w:rsidR="00AD2EF9" w:rsidRPr="00AD2EF9">
        <w:rPr>
          <w:rFonts w:cs="Times New Roman"/>
          <w:b/>
          <w:sz w:val="36"/>
          <w:szCs w:val="36"/>
          <w:lang w:val="es-ES" w:eastAsia="en-US"/>
        </w:rPr>
        <w:t>20</w:t>
      </w:r>
      <w:r>
        <w:rPr>
          <w:rFonts w:cs="Times New Roman"/>
          <w:b/>
          <w:sz w:val="36"/>
          <w:szCs w:val="36"/>
          <w:lang w:val="es-ES" w:eastAsia="en-US"/>
        </w:rPr>
        <w:t>24</w:t>
      </w:r>
    </w:p>
    <w:p w14:paraId="3B639CBC" w14:textId="296346FD" w:rsidR="00A37F63" w:rsidRDefault="00A37F63" w:rsidP="00724FC2">
      <w:pPr>
        <w:suppressAutoHyphens/>
        <w:jc w:val="center"/>
        <w:rPr>
          <w:rFonts w:cs="Times New Roman"/>
          <w:b/>
          <w:sz w:val="36"/>
          <w:szCs w:val="36"/>
          <w:lang w:val="es-ES" w:eastAsia="en-US"/>
        </w:rPr>
      </w:pPr>
    </w:p>
    <w:p w14:paraId="697106B3" w14:textId="77777777" w:rsidR="00F457DD" w:rsidRPr="00052DD1" w:rsidRDefault="00F457DD" w:rsidP="00724FC2">
      <w:pPr>
        <w:suppressAutoHyphens/>
        <w:jc w:val="center"/>
        <w:rPr>
          <w:rFonts w:cs="Times New Roman"/>
          <w:b/>
          <w:sz w:val="36"/>
          <w:szCs w:val="36"/>
          <w:lang w:val="es-ES" w:eastAsia="en-US"/>
        </w:rPr>
      </w:pPr>
    </w:p>
    <w:p w14:paraId="1CC09719" w14:textId="77975BA7" w:rsidR="00B9151C" w:rsidRPr="00052DD1" w:rsidRDefault="00C72705" w:rsidP="00C72705">
      <w:pPr>
        <w:spacing w:after="160" w:line="259" w:lineRule="auto"/>
        <w:jc w:val="center"/>
        <w:rPr>
          <w:rFonts w:cs="Times New Roman"/>
          <w:lang w:val="es-ES" w:eastAsia="en-US"/>
        </w:rPr>
      </w:pPr>
      <w:r>
        <w:rPr>
          <w:rFonts w:cs="Times New Roman"/>
          <w:lang w:val="es-ES" w:eastAsia="en-US"/>
        </w:rPr>
        <w:t>L</w:t>
      </w:r>
      <w:r w:rsidR="00B9151C" w:rsidRPr="00052DD1">
        <w:rPr>
          <w:rFonts w:cs="Times New Roman"/>
          <w:lang w:val="es-ES" w:eastAsia="en-US"/>
        </w:rPr>
        <w:t xml:space="preserve">a </w:t>
      </w:r>
      <w:r w:rsidR="004B5983" w:rsidRPr="00052DD1">
        <w:rPr>
          <w:lang w:val="es-ES"/>
        </w:rPr>
        <w:t>Agencia Francesa de Desarrollo</w:t>
      </w:r>
      <w:r w:rsidR="00B9151C" w:rsidRPr="00052DD1">
        <w:rPr>
          <w:rFonts w:cs="Times New Roman"/>
          <w:lang w:val="es-ES" w:eastAsia="en-US"/>
        </w:rPr>
        <w:t xml:space="preserve"> recibirá con interés tod</w:t>
      </w:r>
      <w:r w:rsidR="00DF53D0" w:rsidRPr="00052DD1">
        <w:rPr>
          <w:rFonts w:cs="Times New Roman"/>
          <w:lang w:val="es-ES" w:eastAsia="en-US"/>
        </w:rPr>
        <w:t>o</w:t>
      </w:r>
      <w:r w:rsidR="00B9151C" w:rsidRPr="00052DD1">
        <w:rPr>
          <w:rFonts w:cs="Times New Roman"/>
          <w:lang w:val="es-ES" w:eastAsia="en-US"/>
        </w:rPr>
        <w:t xml:space="preserve">s </w:t>
      </w:r>
      <w:r w:rsidR="00D67CD6" w:rsidRPr="00052DD1">
        <w:rPr>
          <w:rFonts w:cs="Times New Roman"/>
          <w:lang w:val="es-ES" w:eastAsia="en-US"/>
        </w:rPr>
        <w:t xml:space="preserve">los comentarios </w:t>
      </w:r>
      <w:r w:rsidR="00B9151C" w:rsidRPr="00052DD1">
        <w:rPr>
          <w:rFonts w:cs="Times New Roman"/>
          <w:lang w:val="es-ES" w:eastAsia="en-US"/>
        </w:rPr>
        <w:t>y ob</w:t>
      </w:r>
      <w:r w:rsidR="008506EB" w:rsidRPr="00052DD1">
        <w:rPr>
          <w:rFonts w:cs="Times New Roman"/>
          <w:lang w:val="es-ES" w:eastAsia="en-US"/>
        </w:rPr>
        <w:t>servaciones que</w:t>
      </w:r>
      <w:r w:rsidR="00B9151C" w:rsidRPr="00052DD1">
        <w:rPr>
          <w:rFonts w:cs="Times New Roman"/>
          <w:lang w:val="es-ES" w:eastAsia="en-US"/>
        </w:rPr>
        <w:t xml:space="preserve"> </w:t>
      </w:r>
      <w:r w:rsidR="008506EB" w:rsidRPr="00052DD1">
        <w:rPr>
          <w:rFonts w:cs="Times New Roman"/>
          <w:lang w:val="es-ES" w:eastAsia="en-US"/>
        </w:rPr>
        <w:t xml:space="preserve">pudiera generar </w:t>
      </w:r>
      <w:r w:rsidR="00B9151C" w:rsidRPr="00052DD1">
        <w:rPr>
          <w:rFonts w:cs="Times New Roman"/>
          <w:lang w:val="es-ES" w:eastAsia="en-US"/>
        </w:rPr>
        <w:t>el prese</w:t>
      </w:r>
      <w:r w:rsidR="00A37F63" w:rsidRPr="00052DD1">
        <w:rPr>
          <w:rFonts w:cs="Times New Roman"/>
          <w:lang w:val="es-ES" w:eastAsia="en-US"/>
        </w:rPr>
        <w:t>nte document</w:t>
      </w:r>
      <w:r w:rsidR="008506EB" w:rsidRPr="00052DD1">
        <w:rPr>
          <w:rFonts w:cs="Times New Roman"/>
          <w:lang w:val="es-ES" w:eastAsia="en-US"/>
        </w:rPr>
        <w:t>o. Las p</w:t>
      </w:r>
      <w:r w:rsidR="00B9151C" w:rsidRPr="00052DD1">
        <w:rPr>
          <w:rFonts w:cs="Times New Roman"/>
          <w:lang w:val="es-ES" w:eastAsia="en-US"/>
        </w:rPr>
        <w:t xml:space="preserve">reguntas y comentarios </w:t>
      </w:r>
      <w:r w:rsidR="004B5983" w:rsidRPr="00052DD1">
        <w:rPr>
          <w:rFonts w:cs="Times New Roman"/>
          <w:lang w:val="es-ES" w:eastAsia="en-US"/>
        </w:rPr>
        <w:t xml:space="preserve">relativos </w:t>
      </w:r>
      <w:r w:rsidR="00D67CD6" w:rsidRPr="00052DD1">
        <w:rPr>
          <w:rFonts w:cs="Times New Roman"/>
          <w:lang w:val="es-ES" w:eastAsia="en-US"/>
        </w:rPr>
        <w:t>a</w:t>
      </w:r>
      <w:r w:rsidR="004B5983" w:rsidRPr="00052DD1">
        <w:rPr>
          <w:rFonts w:cs="Times New Roman"/>
          <w:lang w:val="es-ES" w:eastAsia="en-US"/>
        </w:rPr>
        <w:t xml:space="preserve"> dicho documento </w:t>
      </w:r>
      <w:r w:rsidR="00A37F63" w:rsidRPr="00052DD1">
        <w:rPr>
          <w:rFonts w:cs="Times New Roman"/>
          <w:lang w:val="es-ES" w:eastAsia="en-US"/>
        </w:rPr>
        <w:t>se</w:t>
      </w:r>
      <w:r w:rsidR="004B5983" w:rsidRPr="00052DD1">
        <w:rPr>
          <w:rFonts w:cs="Times New Roman"/>
          <w:lang w:val="es-ES" w:eastAsia="en-US"/>
        </w:rPr>
        <w:t xml:space="preserve"> podrán dirigir </w:t>
      </w:r>
      <w:r w:rsidR="00B9151C" w:rsidRPr="00052DD1">
        <w:rPr>
          <w:rFonts w:cs="Times New Roman"/>
          <w:lang w:val="es-ES" w:eastAsia="en-US"/>
        </w:rPr>
        <w:t>a:</w:t>
      </w:r>
    </w:p>
    <w:p w14:paraId="23716DA1" w14:textId="77777777" w:rsidR="00B9151C" w:rsidRPr="00052DD1" w:rsidRDefault="00B9151C" w:rsidP="00B9151C">
      <w:pPr>
        <w:spacing w:before="100"/>
        <w:jc w:val="center"/>
        <w:rPr>
          <w:rFonts w:cs="Times New Roman"/>
          <w:lang w:val="es-ES" w:eastAsia="en-US"/>
        </w:rPr>
      </w:pPr>
      <w:r w:rsidRPr="00052DD1">
        <w:rPr>
          <w:rFonts w:cs="Times New Roman"/>
          <w:lang w:val="es-ES" w:eastAsia="en-US"/>
        </w:rPr>
        <w:t>Correo electrónico: _passation_marche@afd.fr</w:t>
      </w:r>
    </w:p>
    <w:p w14:paraId="51878145" w14:textId="77777777" w:rsidR="00B9151C" w:rsidRPr="00052DD1" w:rsidRDefault="00B9151C" w:rsidP="00B9151C">
      <w:pPr>
        <w:jc w:val="center"/>
        <w:rPr>
          <w:rFonts w:cs="Times New Roman"/>
          <w:color w:val="0000FF"/>
          <w:u w:val="single"/>
          <w:lang w:val="es-ES" w:eastAsia="en-US"/>
        </w:rPr>
      </w:pPr>
    </w:p>
    <w:p w14:paraId="4C9D8F2B" w14:textId="77777777" w:rsidR="005F6071" w:rsidRPr="002A10D9" w:rsidRDefault="00877E0D" w:rsidP="005F6071">
      <w:pPr>
        <w:suppressAutoHyphens/>
        <w:jc w:val="center"/>
        <w:rPr>
          <w:rFonts w:cs="Times New Roman"/>
          <w:color w:val="0000FF"/>
          <w:u w:val="single"/>
          <w:lang w:val="es-ES" w:eastAsia="en-US"/>
        </w:rPr>
      </w:pPr>
      <w:hyperlink r:id="rId9" w:history="1">
        <w:r w:rsidR="005F6071" w:rsidRPr="002A10D9">
          <w:rPr>
            <w:rFonts w:cs="Times New Roman"/>
            <w:color w:val="0000FF"/>
            <w:u w:val="single"/>
            <w:lang w:val="es-ES" w:eastAsia="en-US"/>
          </w:rPr>
          <w:t>http://www.afd.fr</w:t>
        </w:r>
      </w:hyperlink>
    </w:p>
    <w:p w14:paraId="3311BBAA" w14:textId="77777777" w:rsidR="00A20101" w:rsidRDefault="00A20101">
      <w:pPr>
        <w:spacing w:after="160" w:line="259" w:lineRule="auto"/>
        <w:rPr>
          <w:rFonts w:cs="Times New Roman"/>
          <w:color w:val="0000FF"/>
          <w:u w:val="single"/>
          <w:lang w:val="es-ES" w:eastAsia="en-US"/>
        </w:rPr>
      </w:pPr>
    </w:p>
    <w:p w14:paraId="42537CEF" w14:textId="77777777" w:rsidR="00F457DD" w:rsidRDefault="00F457DD">
      <w:pPr>
        <w:spacing w:after="160" w:line="259" w:lineRule="auto"/>
        <w:rPr>
          <w:rFonts w:cs="Times New Roman"/>
          <w:color w:val="0000FF"/>
          <w:u w:val="single"/>
          <w:lang w:val="es-ES" w:eastAsia="en-US"/>
        </w:rPr>
        <w:sectPr w:rsidR="00F457DD" w:rsidSect="00A20101">
          <w:headerReference w:type="default" r:id="rId10"/>
          <w:footerReference w:type="default" r:id="rId11"/>
          <w:footerReference w:type="first" r:id="rId12"/>
          <w:pgSz w:w="11906" w:h="16838" w:code="9"/>
          <w:pgMar w:top="1418" w:right="1134" w:bottom="1418" w:left="851" w:header="284" w:footer="567" w:gutter="0"/>
          <w:cols w:space="708"/>
          <w:titlePg/>
          <w:docGrid w:linePitch="360"/>
        </w:sectPr>
      </w:pPr>
    </w:p>
    <w:p w14:paraId="0EDD805B" w14:textId="20BB3303" w:rsidR="00A37F63" w:rsidRPr="00052DD1" w:rsidRDefault="00A20101" w:rsidP="00A37F63">
      <w:pPr>
        <w:pStyle w:val="Titre1"/>
        <w:rPr>
          <w:lang w:val="es-ES"/>
        </w:rPr>
      </w:pPr>
      <w:bookmarkStart w:id="1" w:name="_Toc415474220"/>
      <w:bookmarkStart w:id="2" w:name="_Toc415489421"/>
      <w:r>
        <w:rPr>
          <w:lang w:val="es-ES"/>
        </w:rPr>
        <w:lastRenderedPageBreak/>
        <w:t>N</w:t>
      </w:r>
      <w:r w:rsidR="00A37F63" w:rsidRPr="00052DD1">
        <w:rPr>
          <w:lang w:val="es-ES"/>
        </w:rPr>
        <w:t>otas</w:t>
      </w:r>
      <w:bookmarkEnd w:id="1"/>
      <w:r w:rsidR="00A37F63" w:rsidRPr="00052DD1">
        <w:rPr>
          <w:lang w:val="es-ES"/>
        </w:rPr>
        <w:t xml:space="preserve"> </w:t>
      </w:r>
      <w:r>
        <w:rPr>
          <w:lang w:val="es-ES"/>
        </w:rPr>
        <w:t xml:space="preserve">de Guía </w:t>
      </w:r>
      <w:r w:rsidR="00A37F63" w:rsidRPr="00052DD1">
        <w:rPr>
          <w:lang w:val="es-ES"/>
        </w:rPr>
        <w:t>para el Usuario</w:t>
      </w:r>
      <w:bookmarkEnd w:id="2"/>
    </w:p>
    <w:p w14:paraId="6291CAFE" w14:textId="77777777" w:rsidR="00A37F63" w:rsidRDefault="00A37F63" w:rsidP="00A37F63">
      <w:pPr>
        <w:ind w:left="709" w:right="560"/>
        <w:jc w:val="both"/>
        <w:rPr>
          <w:rFonts w:cs="Times New Roman"/>
          <w:sz w:val="22"/>
          <w:szCs w:val="22"/>
          <w:lang w:val="es-ES"/>
        </w:rPr>
      </w:pPr>
    </w:p>
    <w:p w14:paraId="590DD099" w14:textId="77777777" w:rsidR="00E47EAC" w:rsidRPr="00052DD1" w:rsidRDefault="00E47EAC" w:rsidP="00A37F63">
      <w:pPr>
        <w:ind w:left="709" w:right="560"/>
        <w:jc w:val="both"/>
        <w:rPr>
          <w:rFonts w:cs="Times New Roman"/>
          <w:sz w:val="22"/>
          <w:szCs w:val="22"/>
          <w:lang w:val="es-ES"/>
        </w:rPr>
      </w:pPr>
    </w:p>
    <w:p w14:paraId="4C947047" w14:textId="6D08E52E" w:rsidR="00A37F63" w:rsidRPr="00C72705" w:rsidRDefault="00A37F63" w:rsidP="00D97A4D">
      <w:pPr>
        <w:spacing w:after="142" w:line="240" w:lineRule="atLeast"/>
        <w:jc w:val="both"/>
        <w:rPr>
          <w:rFonts w:cs="Times New Roman"/>
          <w:sz w:val="22"/>
          <w:szCs w:val="22"/>
          <w:lang w:val="es-ES"/>
        </w:rPr>
      </w:pPr>
      <w:r w:rsidRPr="00C72705">
        <w:rPr>
          <w:rFonts w:cs="Times New Roman"/>
          <w:sz w:val="22"/>
          <w:szCs w:val="22"/>
          <w:lang w:val="es-ES"/>
        </w:rPr>
        <w:t xml:space="preserve">En virtud del artículo 1.6.1 </w:t>
      </w:r>
      <w:r w:rsidR="00A435F3">
        <w:rPr>
          <w:rFonts w:cs="Times New Roman"/>
          <w:sz w:val="22"/>
          <w:szCs w:val="22"/>
          <w:lang w:val="es-ES"/>
        </w:rPr>
        <w:t>(“</w:t>
      </w:r>
      <w:r w:rsidR="00A435F3" w:rsidRPr="00A435F3">
        <w:rPr>
          <w:rFonts w:cs="Times New Roman"/>
          <w:sz w:val="22"/>
          <w:szCs w:val="22"/>
          <w:lang w:val="es-ES"/>
        </w:rPr>
        <w:t>Plan de Adquisiciones</w:t>
      </w:r>
      <w:r w:rsidR="00A435F3">
        <w:rPr>
          <w:rFonts w:cs="Times New Roman"/>
          <w:sz w:val="22"/>
          <w:szCs w:val="22"/>
          <w:lang w:val="es-ES"/>
        </w:rPr>
        <w:t xml:space="preserve">”) </w:t>
      </w:r>
      <w:r w:rsidRPr="00C72705">
        <w:rPr>
          <w:rFonts w:cs="Times New Roman"/>
          <w:sz w:val="22"/>
          <w:szCs w:val="22"/>
          <w:lang w:val="es-ES"/>
        </w:rPr>
        <w:t xml:space="preserve">de las </w:t>
      </w:r>
      <w:r w:rsidR="00D97A4D" w:rsidRPr="00C72705">
        <w:rPr>
          <w:rFonts w:cs="Times New Roman"/>
          <w:sz w:val="22"/>
          <w:szCs w:val="22"/>
          <w:lang w:val="es-ES"/>
        </w:rPr>
        <w:t>“</w:t>
      </w:r>
      <w:r w:rsidR="008723C7" w:rsidRPr="00C72705">
        <w:rPr>
          <w:rFonts w:cs="Times New Roman"/>
          <w:sz w:val="22"/>
          <w:szCs w:val="22"/>
          <w:lang w:val="es-ES"/>
        </w:rPr>
        <w:t xml:space="preserve">Normas de </w:t>
      </w:r>
      <w:r w:rsidR="00C702FE" w:rsidRPr="00C72705">
        <w:rPr>
          <w:rFonts w:cs="Times New Roman"/>
          <w:sz w:val="22"/>
          <w:szCs w:val="22"/>
          <w:lang w:val="es-ES"/>
        </w:rPr>
        <w:t>A</w:t>
      </w:r>
      <w:r w:rsidR="008723C7" w:rsidRPr="00C72705">
        <w:rPr>
          <w:rFonts w:cs="Times New Roman"/>
          <w:sz w:val="22"/>
          <w:szCs w:val="22"/>
          <w:lang w:val="es-ES"/>
        </w:rPr>
        <w:t>dquisiciones para Contratos Financiados por la AFD en Países Extranjeros</w:t>
      </w:r>
      <w:r w:rsidR="00D97A4D" w:rsidRPr="00C72705">
        <w:rPr>
          <w:rFonts w:cs="Times New Roman"/>
          <w:sz w:val="22"/>
          <w:szCs w:val="22"/>
          <w:lang w:val="es-ES"/>
        </w:rPr>
        <w:t>”</w:t>
      </w:r>
      <w:r w:rsidRPr="00C72705">
        <w:rPr>
          <w:rFonts w:cs="Times New Roman"/>
          <w:sz w:val="22"/>
          <w:szCs w:val="22"/>
          <w:lang w:val="es-ES"/>
        </w:rPr>
        <w:t xml:space="preserve">, el </w:t>
      </w:r>
      <w:r w:rsidR="00DF53D0" w:rsidRPr="00C72705">
        <w:rPr>
          <w:rFonts w:cs="Times New Roman"/>
          <w:sz w:val="22"/>
          <w:szCs w:val="22"/>
          <w:lang w:val="es-ES"/>
        </w:rPr>
        <w:t>B</w:t>
      </w:r>
      <w:r w:rsidRPr="00C72705">
        <w:rPr>
          <w:rFonts w:cs="Times New Roman"/>
          <w:sz w:val="22"/>
          <w:szCs w:val="22"/>
          <w:lang w:val="es-ES"/>
        </w:rPr>
        <w:t xml:space="preserve">eneficiario tiene la obligación de </w:t>
      </w:r>
      <w:r w:rsidR="00A9704B" w:rsidRPr="00C72705">
        <w:rPr>
          <w:rFonts w:cs="Times New Roman"/>
          <w:sz w:val="22"/>
          <w:szCs w:val="22"/>
          <w:lang w:val="es-ES"/>
        </w:rPr>
        <w:t>preparar un Plan de Adquisiciones</w:t>
      </w:r>
      <w:r w:rsidR="008253BC" w:rsidRPr="00C72705">
        <w:rPr>
          <w:rFonts w:cs="Times New Roman"/>
          <w:sz w:val="22"/>
          <w:szCs w:val="22"/>
          <w:lang w:val="es-ES"/>
        </w:rPr>
        <w:t xml:space="preserve"> en el que se indiquen </w:t>
      </w:r>
      <w:r w:rsidR="00DF53D0" w:rsidRPr="00C72705">
        <w:rPr>
          <w:rFonts w:cs="Times New Roman"/>
          <w:sz w:val="22"/>
          <w:szCs w:val="22"/>
          <w:lang w:val="es-ES"/>
        </w:rPr>
        <w:t>los procedimientos de</w:t>
      </w:r>
      <w:r w:rsidR="0033504C">
        <w:rPr>
          <w:rFonts w:cs="Times New Roman"/>
          <w:sz w:val="22"/>
          <w:szCs w:val="22"/>
          <w:lang w:val="es-ES"/>
        </w:rPr>
        <w:t xml:space="preserve"> cada una de las</w:t>
      </w:r>
      <w:r w:rsidR="00DF53D0" w:rsidRPr="00C72705">
        <w:rPr>
          <w:rFonts w:cs="Times New Roman"/>
          <w:sz w:val="22"/>
          <w:szCs w:val="22"/>
          <w:lang w:val="es-ES"/>
        </w:rPr>
        <w:t xml:space="preserve"> adquisiciones </w:t>
      </w:r>
      <w:r w:rsidR="00AD2EF9" w:rsidRPr="00C72705">
        <w:rPr>
          <w:rFonts w:cs="Times New Roman"/>
          <w:sz w:val="22"/>
          <w:szCs w:val="22"/>
          <w:lang w:val="es-ES"/>
        </w:rPr>
        <w:t>financiad</w:t>
      </w:r>
      <w:r w:rsidR="0033504C">
        <w:rPr>
          <w:rFonts w:cs="Times New Roman"/>
          <w:sz w:val="22"/>
          <w:szCs w:val="22"/>
          <w:lang w:val="es-ES"/>
        </w:rPr>
        <w:t>a</w:t>
      </w:r>
      <w:r w:rsidR="00AD2EF9" w:rsidRPr="00C72705">
        <w:rPr>
          <w:rFonts w:cs="Times New Roman"/>
          <w:sz w:val="22"/>
          <w:szCs w:val="22"/>
          <w:lang w:val="es-ES"/>
        </w:rPr>
        <w:t>s parcialmente o totalmente por la AFD</w:t>
      </w:r>
      <w:r w:rsidR="0033504C">
        <w:rPr>
          <w:rFonts w:cs="Times New Roman"/>
          <w:sz w:val="22"/>
          <w:szCs w:val="22"/>
          <w:lang w:val="es-ES"/>
        </w:rPr>
        <w:t xml:space="preserve"> (</w:t>
      </w:r>
      <w:r w:rsidR="00B16DC4">
        <w:rPr>
          <w:rFonts w:cs="Times New Roman"/>
          <w:sz w:val="22"/>
          <w:szCs w:val="22"/>
          <w:lang w:val="es-ES"/>
        </w:rPr>
        <w:t xml:space="preserve">futuras, </w:t>
      </w:r>
      <w:r w:rsidR="0033504C">
        <w:rPr>
          <w:rFonts w:cs="Times New Roman"/>
          <w:sz w:val="22"/>
          <w:szCs w:val="22"/>
          <w:lang w:val="es-ES"/>
        </w:rPr>
        <w:t>en curso o ya terminadas)</w:t>
      </w:r>
      <w:r w:rsidRPr="00C72705">
        <w:rPr>
          <w:rFonts w:cs="Times New Roman"/>
          <w:sz w:val="22"/>
          <w:szCs w:val="22"/>
          <w:lang w:val="es-ES"/>
        </w:rPr>
        <w:t>.</w:t>
      </w:r>
    </w:p>
    <w:p w14:paraId="75A4350C" w14:textId="74C898A3" w:rsidR="00A37F63" w:rsidRPr="00C72705" w:rsidRDefault="00A37F63" w:rsidP="00D97A4D">
      <w:pPr>
        <w:spacing w:after="142" w:line="240" w:lineRule="atLeast"/>
        <w:jc w:val="both"/>
        <w:rPr>
          <w:rFonts w:cs="Times New Roman"/>
          <w:sz w:val="22"/>
          <w:szCs w:val="22"/>
          <w:lang w:val="es-ES"/>
        </w:rPr>
      </w:pPr>
      <w:r w:rsidRPr="00C72705">
        <w:rPr>
          <w:rFonts w:cs="Times New Roman"/>
          <w:sz w:val="22"/>
          <w:szCs w:val="22"/>
          <w:lang w:val="es-ES"/>
        </w:rPr>
        <w:t>Este plan</w:t>
      </w:r>
      <w:r w:rsidR="00A9704B" w:rsidRPr="00C72705">
        <w:rPr>
          <w:rFonts w:cs="Times New Roman"/>
          <w:sz w:val="22"/>
          <w:szCs w:val="22"/>
          <w:lang w:val="es-ES"/>
        </w:rPr>
        <w:t xml:space="preserve"> debe </w:t>
      </w:r>
      <w:r w:rsidR="00DF53D0" w:rsidRPr="00C72705">
        <w:rPr>
          <w:rFonts w:cs="Times New Roman"/>
          <w:sz w:val="22"/>
          <w:szCs w:val="22"/>
          <w:lang w:val="es-ES"/>
        </w:rPr>
        <w:t xml:space="preserve">crearse, como </w:t>
      </w:r>
      <w:r w:rsidR="00C702FE" w:rsidRPr="00C72705">
        <w:rPr>
          <w:rFonts w:cs="Times New Roman"/>
          <w:sz w:val="22"/>
          <w:szCs w:val="22"/>
          <w:lang w:val="es-ES"/>
        </w:rPr>
        <w:t>mínimo, para</w:t>
      </w:r>
      <w:r w:rsidR="00DF53D0" w:rsidRPr="00C72705">
        <w:rPr>
          <w:rFonts w:cs="Times New Roman"/>
          <w:sz w:val="22"/>
          <w:szCs w:val="22"/>
          <w:lang w:val="es-ES"/>
        </w:rPr>
        <w:t xml:space="preserve"> los primeros 18 meses</w:t>
      </w:r>
      <w:r w:rsidR="0033504C">
        <w:rPr>
          <w:rFonts w:cs="Times New Roman"/>
          <w:sz w:val="22"/>
          <w:szCs w:val="22"/>
          <w:lang w:val="es-ES"/>
        </w:rPr>
        <w:t>. Se</w:t>
      </w:r>
      <w:r w:rsidR="00DF53D0" w:rsidRPr="00C72705">
        <w:rPr>
          <w:rFonts w:cs="Times New Roman"/>
          <w:sz w:val="22"/>
          <w:szCs w:val="22"/>
          <w:lang w:val="es-ES"/>
        </w:rPr>
        <w:t xml:space="preserve"> </w:t>
      </w:r>
      <w:r w:rsidR="0033504C" w:rsidRPr="00C72705">
        <w:rPr>
          <w:rFonts w:cs="Times New Roman"/>
          <w:sz w:val="22"/>
          <w:szCs w:val="22"/>
          <w:lang w:val="es-ES"/>
        </w:rPr>
        <w:t>actualizará</w:t>
      </w:r>
      <w:r w:rsidR="0033504C">
        <w:rPr>
          <w:rFonts w:cs="Times New Roman"/>
          <w:sz w:val="22"/>
          <w:szCs w:val="22"/>
          <w:lang w:val="es-ES"/>
        </w:rPr>
        <w:t xml:space="preserve"> siempre y cuando sea</w:t>
      </w:r>
      <w:r w:rsidR="00A43014" w:rsidRPr="00A43014">
        <w:rPr>
          <w:rFonts w:cs="Times New Roman"/>
          <w:sz w:val="22"/>
          <w:szCs w:val="22"/>
          <w:lang w:val="es-ES"/>
        </w:rPr>
        <w:t xml:space="preserve"> necesario</w:t>
      </w:r>
      <w:r w:rsidRPr="00C72705">
        <w:rPr>
          <w:rFonts w:cs="Times New Roman"/>
          <w:sz w:val="22"/>
          <w:szCs w:val="22"/>
          <w:lang w:val="es-ES"/>
        </w:rPr>
        <w:t>. L</w:t>
      </w:r>
      <w:r w:rsidR="0033504C">
        <w:rPr>
          <w:rFonts w:cs="Times New Roman"/>
          <w:sz w:val="22"/>
          <w:szCs w:val="22"/>
          <w:lang w:val="es-ES"/>
        </w:rPr>
        <w:t xml:space="preserve">os montos y las fechas especificadas deben ser realistas y </w:t>
      </w:r>
      <w:r w:rsidR="000666B1">
        <w:rPr>
          <w:rFonts w:cs="Times New Roman"/>
          <w:sz w:val="22"/>
          <w:szCs w:val="22"/>
          <w:lang w:val="es-ES"/>
        </w:rPr>
        <w:t>coherentes</w:t>
      </w:r>
      <w:r w:rsidR="0033504C">
        <w:rPr>
          <w:rFonts w:cs="Times New Roman"/>
          <w:sz w:val="22"/>
          <w:szCs w:val="22"/>
          <w:lang w:val="es-ES"/>
        </w:rPr>
        <w:t xml:space="preserve"> con los presupuestos previstos</w:t>
      </w:r>
      <w:r w:rsidR="000666B1">
        <w:rPr>
          <w:rFonts w:cs="Times New Roman"/>
          <w:sz w:val="22"/>
          <w:szCs w:val="22"/>
          <w:lang w:val="es-ES"/>
        </w:rPr>
        <w:t xml:space="preserve"> y asignados</w:t>
      </w:r>
      <w:r w:rsidR="0033504C">
        <w:rPr>
          <w:rFonts w:cs="Times New Roman"/>
          <w:sz w:val="22"/>
          <w:szCs w:val="22"/>
          <w:lang w:val="es-ES"/>
        </w:rPr>
        <w:t>. El Plan de Adquisiciones</w:t>
      </w:r>
      <w:r w:rsidR="000666B1">
        <w:rPr>
          <w:rFonts w:cs="Times New Roman"/>
          <w:sz w:val="22"/>
          <w:szCs w:val="22"/>
          <w:lang w:val="es-ES"/>
        </w:rPr>
        <w:t>,</w:t>
      </w:r>
      <w:r w:rsidR="0033504C">
        <w:rPr>
          <w:rFonts w:cs="Times New Roman"/>
          <w:sz w:val="22"/>
          <w:szCs w:val="22"/>
          <w:lang w:val="es-ES"/>
        </w:rPr>
        <w:t xml:space="preserve"> </w:t>
      </w:r>
      <w:r w:rsidR="000666B1">
        <w:rPr>
          <w:rFonts w:cs="Times New Roman"/>
          <w:sz w:val="22"/>
          <w:szCs w:val="22"/>
          <w:lang w:val="es-ES"/>
        </w:rPr>
        <w:t xml:space="preserve">así como toda actualización significativa, estará sujeto a una Carta de No Objeción (CNO) de la AFD antes de cualquier adquisición. </w:t>
      </w:r>
      <w:r w:rsidRPr="00C72705">
        <w:rPr>
          <w:rFonts w:cs="Times New Roman"/>
          <w:sz w:val="22"/>
          <w:szCs w:val="22"/>
          <w:lang w:val="es-ES"/>
        </w:rPr>
        <w:t xml:space="preserve"> </w:t>
      </w:r>
      <w:r w:rsidR="000666B1">
        <w:rPr>
          <w:rFonts w:cs="Times New Roman"/>
          <w:sz w:val="22"/>
          <w:szCs w:val="22"/>
          <w:lang w:val="es-ES"/>
        </w:rPr>
        <w:t xml:space="preserve">La obtención de esta CNO sobre el Plan de Adquisiciones no se sustituye a las cartas previstas en las diferentes etapas del procedimiento de adquisición, para cada una de las adquisiciones del Plan, incluso en caso de contratación directa, si fuera el caso. </w:t>
      </w:r>
      <w:r w:rsidRPr="00C72705">
        <w:rPr>
          <w:rFonts w:cs="Times New Roman"/>
          <w:sz w:val="22"/>
          <w:szCs w:val="22"/>
          <w:lang w:val="es-ES"/>
        </w:rPr>
        <w:t xml:space="preserve"> </w:t>
      </w:r>
    </w:p>
    <w:p w14:paraId="379404B9" w14:textId="2E7F543B" w:rsidR="00A37F63" w:rsidRPr="00C72705" w:rsidRDefault="00A37F63" w:rsidP="00D97A4D">
      <w:pPr>
        <w:spacing w:after="142" w:line="240" w:lineRule="atLeast"/>
        <w:jc w:val="both"/>
        <w:rPr>
          <w:rFonts w:cs="Times New Roman"/>
          <w:sz w:val="22"/>
          <w:szCs w:val="22"/>
          <w:lang w:val="es-ES"/>
        </w:rPr>
      </w:pPr>
      <w:r w:rsidRPr="00C72705">
        <w:rPr>
          <w:rFonts w:cs="Times New Roman"/>
          <w:sz w:val="22"/>
          <w:szCs w:val="22"/>
          <w:lang w:val="es-ES"/>
        </w:rPr>
        <w:t xml:space="preserve">Los contratos con financiamiento </w:t>
      </w:r>
      <w:r w:rsidR="00C702FE" w:rsidRPr="00C72705">
        <w:rPr>
          <w:rFonts w:cs="Times New Roman"/>
          <w:sz w:val="22"/>
          <w:szCs w:val="22"/>
          <w:lang w:val="es-ES"/>
        </w:rPr>
        <w:t xml:space="preserve">retroactivo </w:t>
      </w:r>
      <w:r w:rsidRPr="00C72705">
        <w:rPr>
          <w:rFonts w:cs="Times New Roman"/>
          <w:sz w:val="22"/>
          <w:szCs w:val="22"/>
          <w:lang w:val="es-ES"/>
        </w:rPr>
        <w:t>de</w:t>
      </w:r>
      <w:r w:rsidR="00C702FE" w:rsidRPr="00C72705">
        <w:rPr>
          <w:rFonts w:cs="Times New Roman"/>
          <w:sz w:val="22"/>
          <w:szCs w:val="22"/>
          <w:lang w:val="es-ES"/>
        </w:rPr>
        <w:t xml:space="preserve"> </w:t>
      </w:r>
      <w:r w:rsidRPr="00C72705">
        <w:rPr>
          <w:rFonts w:cs="Times New Roman"/>
          <w:sz w:val="22"/>
          <w:szCs w:val="22"/>
          <w:lang w:val="es-ES"/>
        </w:rPr>
        <w:t>la AFD que estuvieran por</w:t>
      </w:r>
      <w:r w:rsidR="00962C3C" w:rsidRPr="00C72705">
        <w:rPr>
          <w:rFonts w:cs="Times New Roman"/>
          <w:sz w:val="22"/>
          <w:szCs w:val="22"/>
          <w:lang w:val="es-ES"/>
        </w:rPr>
        <w:t xml:space="preserve"> adjudicarse o </w:t>
      </w:r>
      <w:r w:rsidR="00A81A59" w:rsidRPr="00C72705">
        <w:rPr>
          <w:rFonts w:cs="Times New Roman"/>
          <w:sz w:val="22"/>
          <w:szCs w:val="22"/>
          <w:lang w:val="es-ES"/>
        </w:rPr>
        <w:t>hayan sido</w:t>
      </w:r>
      <w:r w:rsidRPr="00C72705">
        <w:rPr>
          <w:rFonts w:cs="Times New Roman"/>
          <w:sz w:val="22"/>
          <w:szCs w:val="22"/>
          <w:lang w:val="es-ES"/>
        </w:rPr>
        <w:t xml:space="preserve"> adjudicados al momento de establecerse el plan, deben </w:t>
      </w:r>
      <w:r w:rsidR="00C702FE" w:rsidRPr="00C72705">
        <w:rPr>
          <w:rFonts w:cs="Times New Roman"/>
          <w:sz w:val="22"/>
          <w:szCs w:val="22"/>
          <w:lang w:val="es-ES"/>
        </w:rPr>
        <w:t>incluirse</w:t>
      </w:r>
      <w:r w:rsidRPr="00C72705">
        <w:rPr>
          <w:rFonts w:cs="Times New Roman"/>
          <w:sz w:val="22"/>
          <w:szCs w:val="22"/>
          <w:lang w:val="es-ES"/>
        </w:rPr>
        <w:t xml:space="preserve"> a</w:t>
      </w:r>
      <w:r w:rsidR="00C702FE" w:rsidRPr="00C72705">
        <w:rPr>
          <w:rFonts w:cs="Times New Roman"/>
          <w:sz w:val="22"/>
          <w:szCs w:val="22"/>
          <w:lang w:val="es-ES"/>
        </w:rPr>
        <w:t>l Plan de Adquisiciones</w:t>
      </w:r>
      <w:r w:rsidRPr="00C72705">
        <w:rPr>
          <w:rFonts w:cs="Times New Roman"/>
          <w:sz w:val="22"/>
          <w:szCs w:val="22"/>
          <w:lang w:val="es-ES"/>
        </w:rPr>
        <w:t>.</w:t>
      </w:r>
    </w:p>
    <w:p w14:paraId="4485EE52" w14:textId="63833501" w:rsidR="00A37F63" w:rsidRPr="00C72705" w:rsidRDefault="00A37F63" w:rsidP="00D97A4D">
      <w:pPr>
        <w:spacing w:after="142" w:line="240" w:lineRule="atLeast"/>
        <w:jc w:val="both"/>
        <w:rPr>
          <w:rFonts w:cs="Times New Roman"/>
          <w:sz w:val="22"/>
          <w:szCs w:val="22"/>
          <w:lang w:val="es-ES"/>
        </w:rPr>
      </w:pPr>
      <w:r w:rsidRPr="00C72705">
        <w:rPr>
          <w:rFonts w:cs="Times New Roman"/>
          <w:sz w:val="22"/>
          <w:szCs w:val="22"/>
          <w:lang w:val="es-ES"/>
        </w:rPr>
        <w:t xml:space="preserve">Todos los términos del presente documento se entenderán con arreglo a la definición contenida en las </w:t>
      </w:r>
      <w:r w:rsidR="00D97A4D" w:rsidRPr="00C72705">
        <w:rPr>
          <w:rFonts w:cs="Times New Roman"/>
          <w:sz w:val="22"/>
          <w:szCs w:val="22"/>
          <w:lang w:val="es-ES"/>
        </w:rPr>
        <w:t>“</w:t>
      </w:r>
      <w:r w:rsidR="008723C7" w:rsidRPr="00C72705">
        <w:rPr>
          <w:rFonts w:cs="Times New Roman"/>
          <w:sz w:val="22"/>
          <w:szCs w:val="22"/>
          <w:lang w:val="es-ES"/>
        </w:rPr>
        <w:t xml:space="preserve">Normas de </w:t>
      </w:r>
      <w:r w:rsidR="00C702FE" w:rsidRPr="00C72705">
        <w:rPr>
          <w:rFonts w:cs="Times New Roman"/>
          <w:sz w:val="22"/>
          <w:szCs w:val="22"/>
          <w:lang w:val="es-ES"/>
        </w:rPr>
        <w:t>A</w:t>
      </w:r>
      <w:r w:rsidR="008723C7" w:rsidRPr="00C72705">
        <w:rPr>
          <w:rFonts w:cs="Times New Roman"/>
          <w:sz w:val="22"/>
          <w:szCs w:val="22"/>
          <w:lang w:val="es-ES"/>
        </w:rPr>
        <w:t>dquisiciones para Contratos Financiados por la AFD en Países Extranjeros</w:t>
      </w:r>
      <w:r w:rsidR="00D97A4D" w:rsidRPr="00C72705">
        <w:rPr>
          <w:rFonts w:cs="Times New Roman"/>
          <w:sz w:val="22"/>
          <w:szCs w:val="22"/>
          <w:lang w:val="es-ES"/>
        </w:rPr>
        <w:t>”</w:t>
      </w:r>
      <w:r w:rsidRPr="00C72705">
        <w:rPr>
          <w:rFonts w:cs="Times New Roman"/>
          <w:sz w:val="22"/>
          <w:szCs w:val="22"/>
          <w:lang w:val="es-ES"/>
        </w:rPr>
        <w:t>.</w:t>
      </w:r>
    </w:p>
    <w:p w14:paraId="611493B5" w14:textId="77777777" w:rsidR="00EF73FF" w:rsidRPr="00532157" w:rsidRDefault="00EF73FF" w:rsidP="00A37F63">
      <w:pPr>
        <w:spacing w:after="142" w:line="240" w:lineRule="atLeast"/>
        <w:ind w:left="720" w:hanging="720"/>
        <w:jc w:val="both"/>
        <w:rPr>
          <w:rFonts w:cs="Times New Roman"/>
          <w:sz w:val="10"/>
          <w:lang w:val="es-ES"/>
        </w:rPr>
      </w:pPr>
    </w:p>
    <w:p w14:paraId="2FACA4C5" w14:textId="45D6AD1F" w:rsidR="00EF73FF" w:rsidRPr="00532157" w:rsidRDefault="00EF73FF" w:rsidP="00532157">
      <w:pPr>
        <w:pStyle w:val="Titre11"/>
        <w:numPr>
          <w:ilvl w:val="0"/>
          <w:numId w:val="2"/>
        </w:numPr>
        <w:rPr>
          <w:sz w:val="22"/>
          <w:lang w:val="es-ES"/>
        </w:rPr>
      </w:pPr>
      <w:bookmarkStart w:id="3" w:name="_Toc408915352"/>
      <w:bookmarkStart w:id="4" w:name="_Toc415474221"/>
      <w:bookmarkStart w:id="5" w:name="_Toc415489422"/>
      <w:r w:rsidRPr="00C72705">
        <w:rPr>
          <w:sz w:val="22"/>
          <w:lang w:val="es-ES"/>
        </w:rPr>
        <w:t>Definición de los tipos de adjudicación</w:t>
      </w:r>
      <w:r w:rsidRPr="00C72705">
        <w:rPr>
          <w:rStyle w:val="Appelnotedebasdep"/>
          <w:sz w:val="22"/>
          <w:lang w:val="es-ES"/>
        </w:rPr>
        <w:footnoteReference w:id="1"/>
      </w:r>
      <w:bookmarkEnd w:id="3"/>
      <w:bookmarkEnd w:id="4"/>
      <w:bookmarkEnd w:id="5"/>
    </w:p>
    <w:tbl>
      <w:tblPr>
        <w:tblW w:w="9532" w:type="dxa"/>
        <w:tblInd w:w="250" w:type="dxa"/>
        <w:tblLook w:val="01E0" w:firstRow="1" w:lastRow="1" w:firstColumn="1" w:lastColumn="1" w:noHBand="0" w:noVBand="0"/>
      </w:tblPr>
      <w:tblGrid>
        <w:gridCol w:w="2444"/>
        <w:gridCol w:w="7088"/>
      </w:tblGrid>
      <w:tr w:rsidR="00CA0402" w:rsidRPr="00B16DC4" w14:paraId="321FFEA9" w14:textId="77777777" w:rsidTr="00532157">
        <w:tc>
          <w:tcPr>
            <w:tcW w:w="2444" w:type="dxa"/>
            <w:shd w:val="clear" w:color="auto" w:fill="auto"/>
          </w:tcPr>
          <w:p w14:paraId="2FA330BA" w14:textId="22C49EED" w:rsidR="00CA0402" w:rsidRPr="00C72705" w:rsidRDefault="00CA0402" w:rsidP="00532157">
            <w:pPr>
              <w:pStyle w:val="Titre21"/>
              <w:numPr>
                <w:ilvl w:val="1"/>
                <w:numId w:val="3"/>
              </w:numPr>
              <w:ind w:left="352"/>
              <w:rPr>
                <w:sz w:val="22"/>
                <w:szCs w:val="22"/>
                <w:lang w:val="es-ES"/>
              </w:rPr>
            </w:pPr>
            <w:r w:rsidRPr="00C72705">
              <w:rPr>
                <w:sz w:val="22"/>
                <w:szCs w:val="22"/>
                <w:lang w:val="es-ES"/>
              </w:rPr>
              <w:t>Adquisición Competitiva Internacional</w:t>
            </w:r>
          </w:p>
        </w:tc>
        <w:tc>
          <w:tcPr>
            <w:tcW w:w="7088" w:type="dxa"/>
            <w:shd w:val="clear" w:color="auto" w:fill="auto"/>
          </w:tcPr>
          <w:p w14:paraId="22911003" w14:textId="03C010CB" w:rsidR="00CA0402" w:rsidRPr="00C72705" w:rsidRDefault="00CA0402" w:rsidP="000666B1">
            <w:pPr>
              <w:spacing w:after="142" w:line="240" w:lineRule="atLeast"/>
              <w:ind w:left="6" w:right="-108"/>
              <w:jc w:val="both"/>
              <w:rPr>
                <w:rFonts w:eastAsia="Calibri"/>
                <w:sz w:val="22"/>
                <w:szCs w:val="22"/>
                <w:lang w:val="es-ES"/>
              </w:rPr>
            </w:pPr>
            <w:r w:rsidRPr="00C72705">
              <w:rPr>
                <w:rFonts w:eastAsia="Calibri"/>
                <w:sz w:val="22"/>
                <w:szCs w:val="22"/>
                <w:lang w:val="es-ES"/>
              </w:rPr>
              <w:t>Se refiere a un proceso de selección internacional competitivo para la adquisición de bienes, obras, plantas, servicios de consultoría o servicios de no-consultoría donde los documentos de adquisición incluyen las provisiones indicadas en las Normas, con el propósito de atraer candidatos internacionales al proceso de adquisición.</w:t>
            </w:r>
          </w:p>
        </w:tc>
      </w:tr>
      <w:tr w:rsidR="00CA0402" w:rsidRPr="00B16DC4" w14:paraId="3F9689B5" w14:textId="77777777" w:rsidTr="00532157">
        <w:tc>
          <w:tcPr>
            <w:tcW w:w="2444" w:type="dxa"/>
            <w:shd w:val="clear" w:color="auto" w:fill="auto"/>
          </w:tcPr>
          <w:p w14:paraId="7091C155" w14:textId="3970CACC" w:rsidR="00CA0402" w:rsidRPr="00C72705" w:rsidRDefault="00CA0402" w:rsidP="00532157">
            <w:pPr>
              <w:pStyle w:val="Titre21"/>
              <w:numPr>
                <w:ilvl w:val="1"/>
                <w:numId w:val="3"/>
              </w:numPr>
              <w:ind w:left="352"/>
              <w:rPr>
                <w:sz w:val="22"/>
                <w:szCs w:val="22"/>
                <w:lang w:val="es-ES"/>
              </w:rPr>
            </w:pPr>
            <w:r w:rsidRPr="00C72705">
              <w:rPr>
                <w:sz w:val="22"/>
                <w:szCs w:val="22"/>
                <w:lang w:val="es-ES"/>
              </w:rPr>
              <w:t>Adquisición Competitiva Nacional</w:t>
            </w:r>
          </w:p>
        </w:tc>
        <w:tc>
          <w:tcPr>
            <w:tcW w:w="7088" w:type="dxa"/>
            <w:shd w:val="clear" w:color="auto" w:fill="auto"/>
          </w:tcPr>
          <w:p w14:paraId="22B2C75A" w14:textId="7A50F4C3" w:rsidR="00CA0402" w:rsidRPr="00C72705" w:rsidRDefault="00CA0402" w:rsidP="000666B1">
            <w:pPr>
              <w:spacing w:after="142" w:line="240" w:lineRule="atLeast"/>
              <w:ind w:left="6" w:right="-108"/>
              <w:jc w:val="both"/>
              <w:rPr>
                <w:rFonts w:eastAsia="Calibri"/>
                <w:sz w:val="22"/>
                <w:szCs w:val="22"/>
                <w:lang w:val="es-ES"/>
              </w:rPr>
            </w:pPr>
            <w:r w:rsidRPr="00C72705">
              <w:rPr>
                <w:rFonts w:eastAsia="Calibri"/>
                <w:sz w:val="22"/>
                <w:szCs w:val="22"/>
                <w:lang w:val="es-ES"/>
              </w:rPr>
              <w:t>Se refiere a un proceso de selección competitivo para la adquisición de bienes, obras, plantas, servicios de consultoría o servicios de no-consultoría</w:t>
            </w:r>
            <w:r w:rsidR="00CD559E" w:rsidRPr="00C72705">
              <w:rPr>
                <w:rFonts w:eastAsia="Calibri"/>
                <w:sz w:val="22"/>
                <w:szCs w:val="22"/>
                <w:lang w:val="es-ES"/>
              </w:rPr>
              <w:t xml:space="preserve"> como especificado en las Normas. </w:t>
            </w:r>
            <w:r w:rsidRPr="00C72705">
              <w:rPr>
                <w:rFonts w:eastAsia="Calibri"/>
                <w:sz w:val="22"/>
                <w:szCs w:val="22"/>
                <w:lang w:val="es-ES"/>
              </w:rPr>
              <w:t xml:space="preserve"> Este es el procedimiento apropiado dirigido principalmente a oferentes nacionales, sin excluir a oferentes extranjeros, que supone la existencia de una oferta local </w:t>
            </w:r>
            <w:r w:rsidR="00CD559E" w:rsidRPr="00C72705">
              <w:rPr>
                <w:rFonts w:eastAsia="Calibri"/>
                <w:sz w:val="22"/>
                <w:szCs w:val="22"/>
                <w:lang w:val="es-ES"/>
              </w:rPr>
              <w:t>adecuada, calificada</w:t>
            </w:r>
            <w:r w:rsidRPr="00C72705">
              <w:rPr>
                <w:rFonts w:eastAsia="Calibri"/>
                <w:sz w:val="22"/>
                <w:szCs w:val="22"/>
                <w:lang w:val="es-ES"/>
              </w:rPr>
              <w:t xml:space="preserve"> y competitiva, que vuelve improbable la participación de entidades no establecidas localmente.</w:t>
            </w:r>
          </w:p>
        </w:tc>
      </w:tr>
      <w:tr w:rsidR="00EF73FF" w:rsidRPr="00532157" w14:paraId="500975F0" w14:textId="77777777" w:rsidTr="00532157">
        <w:tc>
          <w:tcPr>
            <w:tcW w:w="2444" w:type="dxa"/>
            <w:shd w:val="clear" w:color="auto" w:fill="auto"/>
          </w:tcPr>
          <w:p w14:paraId="0D39D942" w14:textId="59CC8422" w:rsidR="00EF73FF" w:rsidRPr="00C72705" w:rsidRDefault="00D67CD6" w:rsidP="00532157">
            <w:pPr>
              <w:pStyle w:val="Titre21"/>
              <w:numPr>
                <w:ilvl w:val="1"/>
                <w:numId w:val="3"/>
              </w:numPr>
              <w:ind w:left="352"/>
              <w:rPr>
                <w:sz w:val="22"/>
                <w:szCs w:val="22"/>
                <w:lang w:val="es-ES"/>
              </w:rPr>
            </w:pPr>
            <w:r w:rsidRPr="00C72705">
              <w:rPr>
                <w:sz w:val="22"/>
                <w:szCs w:val="22"/>
                <w:lang w:val="es-ES"/>
              </w:rPr>
              <w:t>Contratación</w:t>
            </w:r>
            <w:r w:rsidR="00EF73FF" w:rsidRPr="00C72705">
              <w:rPr>
                <w:sz w:val="22"/>
                <w:szCs w:val="22"/>
                <w:lang w:val="es-ES"/>
              </w:rPr>
              <w:t xml:space="preserve"> Directa </w:t>
            </w:r>
          </w:p>
          <w:p w14:paraId="7F507B96" w14:textId="77777777" w:rsidR="00EF73FF" w:rsidRPr="00C72705" w:rsidRDefault="00EF73FF" w:rsidP="00532157">
            <w:pPr>
              <w:pStyle w:val="Titre21"/>
              <w:ind w:left="352"/>
              <w:rPr>
                <w:sz w:val="22"/>
                <w:szCs w:val="22"/>
                <w:lang w:val="es-ES"/>
              </w:rPr>
            </w:pPr>
          </w:p>
        </w:tc>
        <w:tc>
          <w:tcPr>
            <w:tcW w:w="7088" w:type="dxa"/>
            <w:shd w:val="clear" w:color="auto" w:fill="auto"/>
          </w:tcPr>
          <w:p w14:paraId="4DA215B0" w14:textId="6E6CA7F3" w:rsidR="00EF73FF" w:rsidRPr="00C72705" w:rsidRDefault="00D97A4D" w:rsidP="00532157">
            <w:pPr>
              <w:spacing w:after="80"/>
              <w:ind w:left="6" w:right="-108"/>
              <w:jc w:val="both"/>
              <w:rPr>
                <w:rFonts w:cs="Times New Roman"/>
                <w:sz w:val="22"/>
                <w:szCs w:val="22"/>
                <w:lang w:val="es-ES"/>
              </w:rPr>
            </w:pPr>
            <w:r w:rsidRPr="00C72705">
              <w:rPr>
                <w:rFonts w:eastAsia="Calibri"/>
                <w:sz w:val="22"/>
                <w:szCs w:val="22"/>
                <w:lang w:val="es-ES"/>
              </w:rPr>
              <w:t>S</w:t>
            </w:r>
            <w:r w:rsidR="00536842" w:rsidRPr="00C72705">
              <w:rPr>
                <w:rFonts w:eastAsia="Calibri"/>
                <w:sz w:val="22"/>
                <w:szCs w:val="22"/>
                <w:lang w:val="es-ES"/>
              </w:rPr>
              <w:t xml:space="preserve">e refiere a un proceso de adjudicación de un contrato a un proveedor o consultor sin previo proceso competitivo. </w:t>
            </w:r>
          </w:p>
          <w:p w14:paraId="154D42D4" w14:textId="40B09EB8" w:rsidR="00EF73FF" w:rsidRPr="00C72705" w:rsidRDefault="00EF73FF" w:rsidP="000666B1">
            <w:pPr>
              <w:spacing w:after="142" w:line="240" w:lineRule="atLeast"/>
              <w:ind w:left="6" w:right="-108"/>
              <w:jc w:val="both"/>
              <w:rPr>
                <w:rFonts w:cs="Times New Roman"/>
                <w:i/>
                <w:sz w:val="22"/>
                <w:szCs w:val="22"/>
                <w:lang w:val="es-ES"/>
              </w:rPr>
            </w:pPr>
            <w:r w:rsidRPr="00C72705">
              <w:rPr>
                <w:rFonts w:cs="Times New Roman"/>
                <w:i/>
                <w:sz w:val="22"/>
                <w:szCs w:val="22"/>
                <w:lang w:val="es-ES"/>
              </w:rPr>
              <w:t xml:space="preserve">Este procedimiento </w:t>
            </w:r>
            <w:r w:rsidR="00536842" w:rsidRPr="00C72705">
              <w:rPr>
                <w:rFonts w:cs="Times New Roman"/>
                <w:i/>
                <w:sz w:val="22"/>
                <w:szCs w:val="22"/>
                <w:lang w:val="es-ES"/>
              </w:rPr>
              <w:t>se aparta</w:t>
            </w:r>
            <w:r w:rsidRPr="00C72705">
              <w:rPr>
                <w:rFonts w:cs="Times New Roman"/>
                <w:i/>
                <w:sz w:val="22"/>
                <w:szCs w:val="22"/>
                <w:lang w:val="es-ES"/>
              </w:rPr>
              <w:t xml:space="preserve"> </w:t>
            </w:r>
            <w:r w:rsidR="00536842" w:rsidRPr="00C72705">
              <w:rPr>
                <w:rFonts w:cs="Times New Roman"/>
                <w:i/>
                <w:sz w:val="22"/>
                <w:szCs w:val="22"/>
                <w:lang w:val="es-ES"/>
              </w:rPr>
              <w:t>d</w:t>
            </w:r>
            <w:r w:rsidRPr="00C72705">
              <w:rPr>
                <w:rFonts w:cs="Times New Roman"/>
                <w:i/>
                <w:sz w:val="22"/>
                <w:szCs w:val="22"/>
                <w:lang w:val="es-ES"/>
              </w:rPr>
              <w:t xml:space="preserve">el principio </w:t>
            </w:r>
            <w:r w:rsidR="00536842" w:rsidRPr="00C72705">
              <w:rPr>
                <w:rFonts w:cs="Times New Roman"/>
                <w:i/>
                <w:sz w:val="22"/>
                <w:szCs w:val="22"/>
                <w:lang w:val="es-ES"/>
              </w:rPr>
              <w:t>fundamental de</w:t>
            </w:r>
            <w:r w:rsidRPr="00C72705">
              <w:rPr>
                <w:rFonts w:cs="Times New Roman"/>
                <w:i/>
                <w:sz w:val="22"/>
                <w:szCs w:val="22"/>
                <w:lang w:val="es-ES"/>
              </w:rPr>
              <w:t xml:space="preserve"> </w:t>
            </w:r>
            <w:r w:rsidR="00536842" w:rsidRPr="00C72705">
              <w:rPr>
                <w:rFonts w:cs="Times New Roman"/>
                <w:i/>
                <w:sz w:val="22"/>
                <w:szCs w:val="22"/>
                <w:lang w:val="es-ES"/>
              </w:rPr>
              <w:t>competencia</w:t>
            </w:r>
            <w:r w:rsidRPr="00C72705">
              <w:rPr>
                <w:rFonts w:cs="Times New Roman"/>
                <w:i/>
                <w:sz w:val="22"/>
                <w:szCs w:val="22"/>
                <w:lang w:val="es-ES"/>
              </w:rPr>
              <w:t xml:space="preserve"> y sólo puede utilizarse en forma excepcional (para mayores detalles</w:t>
            </w:r>
            <w:r w:rsidR="000666B1">
              <w:rPr>
                <w:rFonts w:cs="Times New Roman"/>
                <w:i/>
                <w:sz w:val="22"/>
                <w:szCs w:val="22"/>
                <w:lang w:val="es-ES"/>
              </w:rPr>
              <w:t xml:space="preserve"> en</w:t>
            </w:r>
            <w:r w:rsidRPr="00C72705">
              <w:rPr>
                <w:rFonts w:cs="Times New Roman"/>
                <w:i/>
                <w:sz w:val="22"/>
                <w:szCs w:val="22"/>
                <w:lang w:val="es-ES"/>
              </w:rPr>
              <w:t xml:space="preserve"> las </w:t>
            </w:r>
            <w:r w:rsidR="008723C7" w:rsidRPr="00C72705">
              <w:rPr>
                <w:rFonts w:cs="Times New Roman"/>
                <w:i/>
                <w:sz w:val="22"/>
                <w:szCs w:val="22"/>
                <w:lang w:val="es-ES"/>
              </w:rPr>
              <w:t>Normas</w:t>
            </w:r>
            <w:r w:rsidR="00D97A4D" w:rsidRPr="00C72705">
              <w:rPr>
                <w:rFonts w:cs="Times New Roman"/>
                <w:i/>
                <w:sz w:val="22"/>
                <w:szCs w:val="22"/>
                <w:lang w:val="es-ES"/>
              </w:rPr>
              <w:t xml:space="preserve">). </w:t>
            </w:r>
          </w:p>
        </w:tc>
      </w:tr>
      <w:tr w:rsidR="00CA0402" w:rsidRPr="00B16DC4" w14:paraId="06813DF4" w14:textId="77777777" w:rsidTr="00532157">
        <w:tc>
          <w:tcPr>
            <w:tcW w:w="2444" w:type="dxa"/>
            <w:shd w:val="clear" w:color="auto" w:fill="auto"/>
          </w:tcPr>
          <w:p w14:paraId="7A4AC72B" w14:textId="110093BD" w:rsidR="00CA0402" w:rsidRPr="00C72705" w:rsidRDefault="00CA0402" w:rsidP="00532157">
            <w:pPr>
              <w:pStyle w:val="Titre21"/>
              <w:numPr>
                <w:ilvl w:val="1"/>
                <w:numId w:val="3"/>
              </w:numPr>
              <w:ind w:left="352"/>
              <w:rPr>
                <w:sz w:val="22"/>
                <w:szCs w:val="22"/>
                <w:lang w:val="es-ES"/>
              </w:rPr>
            </w:pPr>
            <w:r w:rsidRPr="00C72705">
              <w:rPr>
                <w:sz w:val="22"/>
                <w:szCs w:val="22"/>
                <w:lang w:val="es-ES"/>
              </w:rPr>
              <w:t>Invitación a Presentar Ofertas</w:t>
            </w:r>
          </w:p>
        </w:tc>
        <w:tc>
          <w:tcPr>
            <w:tcW w:w="7088" w:type="dxa"/>
            <w:shd w:val="clear" w:color="auto" w:fill="auto"/>
          </w:tcPr>
          <w:p w14:paraId="0D0A747A" w14:textId="7D269747" w:rsidR="00CA0402" w:rsidRPr="00C72705" w:rsidRDefault="00CA0402" w:rsidP="00532157">
            <w:pPr>
              <w:spacing w:after="80"/>
              <w:ind w:left="6" w:right="-108"/>
              <w:jc w:val="both"/>
              <w:rPr>
                <w:rFonts w:cs="Times New Roman"/>
                <w:sz w:val="22"/>
                <w:szCs w:val="22"/>
                <w:lang w:val="es-ES"/>
              </w:rPr>
            </w:pPr>
            <w:r w:rsidRPr="00C72705">
              <w:rPr>
                <w:sz w:val="22"/>
                <w:szCs w:val="22"/>
                <w:lang w:val="es-ES"/>
              </w:rPr>
              <w:t xml:space="preserve">Se refiere a un aviso público publicado por </w:t>
            </w:r>
            <w:r w:rsidR="00CD559E" w:rsidRPr="00C72705">
              <w:rPr>
                <w:sz w:val="22"/>
                <w:szCs w:val="22"/>
                <w:lang w:val="es-ES"/>
              </w:rPr>
              <w:t>la Autoridad Contratante</w:t>
            </w:r>
            <w:r w:rsidRPr="00C72705">
              <w:rPr>
                <w:sz w:val="22"/>
                <w:szCs w:val="22"/>
                <w:lang w:val="es-ES"/>
              </w:rPr>
              <w:t>, invitando a proveedores de bienes, obras, plantas o servicios de no-consultoría, que cumplen con los criterios de elegibilidad</w:t>
            </w:r>
            <w:r w:rsidR="00CD559E" w:rsidRPr="00C72705">
              <w:rPr>
                <w:sz w:val="22"/>
                <w:szCs w:val="22"/>
                <w:lang w:val="es-ES"/>
              </w:rPr>
              <w:t xml:space="preserve"> y de cualificación </w:t>
            </w:r>
            <w:r w:rsidRPr="00C72705">
              <w:rPr>
                <w:sz w:val="22"/>
                <w:szCs w:val="22"/>
                <w:lang w:val="es-ES"/>
              </w:rPr>
              <w:t>de los Documentos de Licitaci</w:t>
            </w:r>
            <w:r w:rsidR="00CD559E" w:rsidRPr="00C72705">
              <w:rPr>
                <w:sz w:val="22"/>
                <w:szCs w:val="22"/>
                <w:lang w:val="es-ES"/>
              </w:rPr>
              <w:t>ón, para que presenten ofertas.</w:t>
            </w:r>
          </w:p>
          <w:p w14:paraId="21C7BBED" w14:textId="3317A1DF" w:rsidR="00CA0402" w:rsidRPr="00C72705" w:rsidRDefault="00CA0402" w:rsidP="00CD559E">
            <w:pPr>
              <w:spacing w:after="142" w:line="240" w:lineRule="atLeast"/>
              <w:ind w:left="6" w:right="-108"/>
              <w:jc w:val="both"/>
              <w:rPr>
                <w:rFonts w:eastAsia="Calibri"/>
                <w:sz w:val="22"/>
                <w:szCs w:val="22"/>
                <w:lang w:val="es-ES"/>
              </w:rPr>
            </w:pPr>
            <w:r w:rsidRPr="00C72705">
              <w:rPr>
                <w:rFonts w:cs="Times New Roman"/>
                <w:i/>
                <w:sz w:val="22"/>
                <w:szCs w:val="22"/>
                <w:lang w:val="es-ES"/>
              </w:rPr>
              <w:t>La Invitación a Presentar Ofertas es el proceso de adquisiciones estándar para la adquisición de bie</w:t>
            </w:r>
            <w:r w:rsidR="00CD559E" w:rsidRPr="00C72705">
              <w:rPr>
                <w:rFonts w:cs="Times New Roman"/>
                <w:i/>
                <w:sz w:val="22"/>
                <w:szCs w:val="22"/>
                <w:lang w:val="es-ES"/>
              </w:rPr>
              <w:t xml:space="preserve">nes, obras o plantas. Puede ser (o no) </w:t>
            </w:r>
            <w:r w:rsidRPr="00C72705">
              <w:rPr>
                <w:rFonts w:cs="Times New Roman"/>
                <w:i/>
                <w:sz w:val="22"/>
                <w:szCs w:val="22"/>
                <w:lang w:val="es-ES"/>
              </w:rPr>
              <w:t xml:space="preserve">precedida por una etapa de </w:t>
            </w:r>
            <w:proofErr w:type="spellStart"/>
            <w:r w:rsidRPr="00C72705">
              <w:rPr>
                <w:rFonts w:cs="Times New Roman"/>
                <w:i/>
                <w:sz w:val="22"/>
                <w:szCs w:val="22"/>
                <w:lang w:val="es-ES"/>
              </w:rPr>
              <w:t>Prec</w:t>
            </w:r>
            <w:r w:rsidR="002A10D9" w:rsidRPr="00C72705">
              <w:rPr>
                <w:rFonts w:cs="Times New Roman"/>
                <w:i/>
                <w:sz w:val="22"/>
                <w:szCs w:val="22"/>
                <w:lang w:val="es-ES"/>
              </w:rPr>
              <w:t>u</w:t>
            </w:r>
            <w:r w:rsidRPr="00C72705">
              <w:rPr>
                <w:rFonts w:cs="Times New Roman"/>
                <w:i/>
                <w:sz w:val="22"/>
                <w:szCs w:val="22"/>
                <w:lang w:val="es-ES"/>
              </w:rPr>
              <w:t>alificación</w:t>
            </w:r>
            <w:proofErr w:type="spellEnd"/>
            <w:r w:rsidRPr="00C72705">
              <w:rPr>
                <w:rFonts w:cs="Times New Roman"/>
                <w:i/>
                <w:sz w:val="22"/>
                <w:szCs w:val="22"/>
                <w:lang w:val="es-ES"/>
              </w:rPr>
              <w:t>, y en ese caso la c</w:t>
            </w:r>
            <w:r w:rsidR="002A10D9" w:rsidRPr="00C72705">
              <w:rPr>
                <w:rFonts w:cs="Times New Roman"/>
                <w:i/>
                <w:sz w:val="22"/>
                <w:szCs w:val="22"/>
                <w:lang w:val="es-ES"/>
              </w:rPr>
              <w:t>u</w:t>
            </w:r>
            <w:r w:rsidRPr="00C72705">
              <w:rPr>
                <w:rFonts w:cs="Times New Roman"/>
                <w:i/>
                <w:sz w:val="22"/>
                <w:szCs w:val="22"/>
                <w:lang w:val="es-ES"/>
              </w:rPr>
              <w:t>alificación es parte del proceso de licitación.</w:t>
            </w:r>
          </w:p>
        </w:tc>
      </w:tr>
      <w:tr w:rsidR="00CA0402" w:rsidRPr="00B16DC4" w14:paraId="4DEAB41F" w14:textId="77777777" w:rsidTr="00532157">
        <w:tc>
          <w:tcPr>
            <w:tcW w:w="2444" w:type="dxa"/>
            <w:shd w:val="clear" w:color="auto" w:fill="auto"/>
          </w:tcPr>
          <w:p w14:paraId="7DA8B908" w14:textId="28B5403E" w:rsidR="00CA0402" w:rsidRPr="00C72705" w:rsidRDefault="00BA7DF9" w:rsidP="00532157">
            <w:pPr>
              <w:pStyle w:val="Titre21"/>
              <w:numPr>
                <w:ilvl w:val="1"/>
                <w:numId w:val="3"/>
              </w:numPr>
              <w:ind w:left="352"/>
              <w:rPr>
                <w:sz w:val="22"/>
                <w:szCs w:val="22"/>
                <w:lang w:val="es-ES"/>
              </w:rPr>
            </w:pPr>
            <w:r w:rsidRPr="00C72705">
              <w:rPr>
                <w:sz w:val="22"/>
                <w:szCs w:val="22"/>
                <w:lang w:val="es-ES"/>
              </w:rPr>
              <w:t>Precalificación</w:t>
            </w:r>
          </w:p>
        </w:tc>
        <w:tc>
          <w:tcPr>
            <w:tcW w:w="7088" w:type="dxa"/>
            <w:shd w:val="clear" w:color="auto" w:fill="auto"/>
          </w:tcPr>
          <w:p w14:paraId="4CCF75E5" w14:textId="4C6E6064" w:rsidR="00CA0402" w:rsidRPr="00C72705" w:rsidRDefault="00E04BC4" w:rsidP="00BA7DF9">
            <w:pPr>
              <w:spacing w:after="142" w:line="240" w:lineRule="atLeast"/>
              <w:ind w:left="6" w:right="-108"/>
              <w:jc w:val="both"/>
              <w:rPr>
                <w:sz w:val="22"/>
                <w:szCs w:val="22"/>
                <w:lang w:val="es-MX"/>
              </w:rPr>
            </w:pPr>
            <w:r w:rsidRPr="00C72705">
              <w:rPr>
                <w:sz w:val="22"/>
                <w:szCs w:val="22"/>
                <w:lang w:val="es-ES"/>
              </w:rPr>
              <w:t xml:space="preserve">Se refiere a una etapa competitiva inicial  (opcional)  para la adquisición de bienes, obras o plantas con miras a designar a los oferentes calificados que </w:t>
            </w:r>
            <w:r w:rsidRPr="00C72705">
              <w:rPr>
                <w:sz w:val="22"/>
                <w:szCs w:val="22"/>
                <w:lang w:val="es-ES"/>
              </w:rPr>
              <w:lastRenderedPageBreak/>
              <w:t xml:space="preserve">estarán invitados a presentar una oferta, conforme </w:t>
            </w:r>
            <w:r w:rsidR="00BA7DF9">
              <w:rPr>
                <w:sz w:val="22"/>
                <w:szCs w:val="22"/>
                <w:lang w:val="es-ES"/>
              </w:rPr>
              <w:t xml:space="preserve">a las disposiciones de </w:t>
            </w:r>
            <w:r w:rsidRPr="00C72705">
              <w:rPr>
                <w:sz w:val="22"/>
                <w:szCs w:val="22"/>
                <w:lang w:val="es-ES"/>
              </w:rPr>
              <w:t>las Normas</w:t>
            </w:r>
          </w:p>
        </w:tc>
      </w:tr>
      <w:tr w:rsidR="00CA0402" w:rsidRPr="00532157" w14:paraId="267747BD" w14:textId="77777777" w:rsidTr="00532157">
        <w:tc>
          <w:tcPr>
            <w:tcW w:w="2444" w:type="dxa"/>
            <w:shd w:val="clear" w:color="auto" w:fill="auto"/>
          </w:tcPr>
          <w:p w14:paraId="3C3C659F" w14:textId="10B7C77D" w:rsidR="00CA0402" w:rsidRPr="00C72705" w:rsidRDefault="00052DD1" w:rsidP="00532157">
            <w:pPr>
              <w:pStyle w:val="Titre21"/>
              <w:numPr>
                <w:ilvl w:val="1"/>
                <w:numId w:val="3"/>
              </w:numPr>
              <w:ind w:left="352"/>
              <w:rPr>
                <w:sz w:val="22"/>
                <w:szCs w:val="22"/>
                <w:lang w:val="es-ES"/>
              </w:rPr>
            </w:pPr>
            <w:r w:rsidRPr="00C72705">
              <w:rPr>
                <w:sz w:val="22"/>
                <w:szCs w:val="22"/>
                <w:lang w:val="es-ES"/>
              </w:rPr>
              <w:lastRenderedPageBreak/>
              <w:t>Selección Basada en Calidad (SBC)</w:t>
            </w:r>
          </w:p>
        </w:tc>
        <w:tc>
          <w:tcPr>
            <w:tcW w:w="7088" w:type="dxa"/>
            <w:shd w:val="clear" w:color="auto" w:fill="auto"/>
          </w:tcPr>
          <w:p w14:paraId="741360D9" w14:textId="7164E270" w:rsidR="00CA0402" w:rsidRPr="00C72705" w:rsidRDefault="00052DD1" w:rsidP="00052DD1">
            <w:pPr>
              <w:spacing w:after="142" w:line="240" w:lineRule="atLeast"/>
              <w:ind w:left="34"/>
              <w:jc w:val="both"/>
              <w:rPr>
                <w:rFonts w:eastAsia="Calibri"/>
                <w:sz w:val="22"/>
                <w:szCs w:val="22"/>
                <w:lang w:val="es-ES"/>
              </w:rPr>
            </w:pPr>
            <w:r w:rsidRPr="00C72705">
              <w:rPr>
                <w:rFonts w:cs="Times New Roman"/>
                <w:sz w:val="22"/>
                <w:szCs w:val="22"/>
                <w:lang w:val="es-ES"/>
              </w:rPr>
              <w:t>El contrato se adjudica a la oferta que se considere como la mejor desde el punto de vista técnico. Este método puede utilizarse para (i) la contratación puntual de consultores individuales</w:t>
            </w:r>
            <w:r w:rsidRPr="00C72705">
              <w:rPr>
                <w:rStyle w:val="Appelnotedebasdep"/>
                <w:sz w:val="22"/>
                <w:szCs w:val="22"/>
                <w:lang w:val="es-ES"/>
              </w:rPr>
              <w:footnoteReference w:id="2"/>
            </w:r>
            <w:r w:rsidRPr="00C72705">
              <w:rPr>
                <w:rFonts w:cs="Times New Roman"/>
                <w:sz w:val="22"/>
                <w:szCs w:val="22"/>
                <w:lang w:val="es-ES"/>
              </w:rPr>
              <w:t xml:space="preserve"> o para (ii) proyectos complejos o de gran trascendencia. En este segundo caso se debe utilizar con precaución ya que conlleva un riesgo de sobreprecio técnico, además el Beneficiario necesita tener un amplio conocimiento de los precios del mercado para llevar a cabo en forma conveniente las negociaciones financieras.</w:t>
            </w:r>
          </w:p>
        </w:tc>
      </w:tr>
      <w:tr w:rsidR="00CA0402" w:rsidRPr="00B16DC4" w14:paraId="7D78D683" w14:textId="77777777" w:rsidTr="00532157">
        <w:tc>
          <w:tcPr>
            <w:tcW w:w="2444" w:type="dxa"/>
            <w:shd w:val="clear" w:color="auto" w:fill="auto"/>
          </w:tcPr>
          <w:p w14:paraId="62EB57ED" w14:textId="14715430" w:rsidR="00CA0402" w:rsidRPr="00C72705" w:rsidRDefault="00CA0402" w:rsidP="00532157">
            <w:pPr>
              <w:pStyle w:val="Titre21"/>
              <w:numPr>
                <w:ilvl w:val="1"/>
                <w:numId w:val="3"/>
              </w:numPr>
              <w:ind w:left="352"/>
              <w:rPr>
                <w:sz w:val="22"/>
                <w:szCs w:val="22"/>
                <w:lang w:val="es-ES"/>
              </w:rPr>
            </w:pPr>
            <w:r w:rsidRPr="00C72705">
              <w:rPr>
                <w:sz w:val="22"/>
                <w:szCs w:val="22"/>
                <w:lang w:val="es-ES"/>
              </w:rPr>
              <w:t xml:space="preserve">Selección </w:t>
            </w:r>
            <w:r w:rsidR="00BF464D" w:rsidRPr="00C72705">
              <w:rPr>
                <w:sz w:val="22"/>
                <w:szCs w:val="22"/>
                <w:lang w:val="es-ES"/>
              </w:rPr>
              <w:t>B</w:t>
            </w:r>
            <w:r w:rsidRPr="00C72705">
              <w:rPr>
                <w:sz w:val="22"/>
                <w:szCs w:val="22"/>
                <w:lang w:val="es-ES"/>
              </w:rPr>
              <w:t>asada en Calidad y Costo (SBCC)</w:t>
            </w:r>
          </w:p>
        </w:tc>
        <w:tc>
          <w:tcPr>
            <w:tcW w:w="7088" w:type="dxa"/>
            <w:shd w:val="clear" w:color="auto" w:fill="auto"/>
          </w:tcPr>
          <w:p w14:paraId="6F67FBEF" w14:textId="3F9DAA63" w:rsidR="00CA0402" w:rsidRPr="00C72705" w:rsidRDefault="00CA0402" w:rsidP="00CA0402">
            <w:pPr>
              <w:spacing w:after="142" w:line="240" w:lineRule="atLeast"/>
              <w:ind w:left="34"/>
              <w:jc w:val="both"/>
              <w:rPr>
                <w:rFonts w:cs="Times New Roman"/>
                <w:sz w:val="22"/>
                <w:szCs w:val="22"/>
                <w:lang w:val="es-ES"/>
              </w:rPr>
            </w:pPr>
            <w:r w:rsidRPr="00C72705">
              <w:rPr>
                <w:rFonts w:cs="Times New Roman"/>
                <w:sz w:val="22"/>
                <w:szCs w:val="22"/>
                <w:lang w:val="es-ES"/>
              </w:rPr>
              <w:t>Las ofertas se entregan en dos sobres separados (oferta técnica y ofe</w:t>
            </w:r>
            <w:r w:rsidR="00717317" w:rsidRPr="00C72705">
              <w:rPr>
                <w:rFonts w:cs="Times New Roman"/>
                <w:sz w:val="22"/>
                <w:szCs w:val="22"/>
                <w:lang w:val="es-ES"/>
              </w:rPr>
              <w:t xml:space="preserve">rta financiera) para </w:t>
            </w:r>
            <w:r w:rsidRPr="00C72705">
              <w:rPr>
                <w:rFonts w:cs="Times New Roman"/>
                <w:sz w:val="22"/>
                <w:szCs w:val="22"/>
                <w:lang w:val="es-ES"/>
              </w:rPr>
              <w:t>procede</w:t>
            </w:r>
            <w:r w:rsidR="00717317" w:rsidRPr="00C72705">
              <w:rPr>
                <w:rFonts w:cs="Times New Roman"/>
                <w:sz w:val="22"/>
                <w:szCs w:val="22"/>
                <w:lang w:val="es-ES"/>
              </w:rPr>
              <w:t>r</w:t>
            </w:r>
            <w:r w:rsidRPr="00C72705">
              <w:rPr>
                <w:rFonts w:cs="Times New Roman"/>
                <w:sz w:val="22"/>
                <w:szCs w:val="22"/>
                <w:lang w:val="es-ES"/>
              </w:rPr>
              <w:t xml:space="preserve"> a la evaluación técnica</w:t>
            </w:r>
            <w:r w:rsidR="00717317" w:rsidRPr="00C72705">
              <w:rPr>
                <w:rFonts w:cs="Times New Roman"/>
                <w:sz w:val="22"/>
                <w:szCs w:val="22"/>
                <w:lang w:val="es-ES"/>
              </w:rPr>
              <w:t xml:space="preserve"> mientras</w:t>
            </w:r>
            <w:r w:rsidRPr="00C72705">
              <w:rPr>
                <w:rFonts w:cs="Times New Roman"/>
                <w:sz w:val="22"/>
                <w:szCs w:val="22"/>
                <w:lang w:val="es-ES"/>
              </w:rPr>
              <w:t xml:space="preserve"> las propuestas financieras permanecen en el sobre sellado. Para la evaluación financiera, únicamente se tomarán en cuenta aquellas propuestas técnicas conformes (con calificación superior al mínimo indicado en el documento de adquisición).</w:t>
            </w:r>
          </w:p>
          <w:p w14:paraId="0338EF9F" w14:textId="117B508F" w:rsidR="00CA0402" w:rsidRPr="00C72705" w:rsidRDefault="00CA0402" w:rsidP="00532157">
            <w:pPr>
              <w:spacing w:after="80"/>
              <w:jc w:val="both"/>
              <w:rPr>
                <w:rFonts w:cs="Times New Roman"/>
                <w:sz w:val="22"/>
                <w:szCs w:val="22"/>
                <w:lang w:val="es-ES"/>
              </w:rPr>
            </w:pPr>
            <w:r w:rsidRPr="00C72705">
              <w:rPr>
                <w:rFonts w:cs="Times New Roman"/>
                <w:sz w:val="22"/>
                <w:szCs w:val="22"/>
                <w:lang w:val="es-ES"/>
              </w:rPr>
              <w:t>La propuesta elegida será la que obtenga la calificación ponderada técnico/financiera más alta. Generalmente, los coeficientes de ponderación son de alrededor del 80% para la parte técnica y de 20% para la parte financiera.</w:t>
            </w:r>
          </w:p>
          <w:p w14:paraId="7998FEEE" w14:textId="3A4D5A8A" w:rsidR="00CA0402" w:rsidRPr="00C72705" w:rsidRDefault="00CA0402" w:rsidP="00CA0402">
            <w:pPr>
              <w:spacing w:after="142" w:line="240" w:lineRule="atLeast"/>
              <w:ind w:left="6" w:right="-108"/>
              <w:jc w:val="both"/>
              <w:rPr>
                <w:rFonts w:eastAsia="Calibri"/>
                <w:sz w:val="22"/>
                <w:szCs w:val="22"/>
                <w:lang w:val="es-ES"/>
              </w:rPr>
            </w:pPr>
            <w:r w:rsidRPr="00C72705">
              <w:rPr>
                <w:rFonts w:cs="Times New Roman"/>
                <w:i/>
                <w:sz w:val="22"/>
                <w:szCs w:val="22"/>
                <w:lang w:val="es-ES"/>
              </w:rPr>
              <w:t>Este método de selección se recomienda para la adquisición de servicios de consultoría.</w:t>
            </w:r>
          </w:p>
        </w:tc>
      </w:tr>
      <w:tr w:rsidR="00CA0402" w:rsidRPr="00B16DC4" w14:paraId="3D8D7D8C" w14:textId="77777777" w:rsidTr="00532157">
        <w:tc>
          <w:tcPr>
            <w:tcW w:w="2444" w:type="dxa"/>
            <w:shd w:val="clear" w:color="auto" w:fill="auto"/>
          </w:tcPr>
          <w:p w14:paraId="75175567" w14:textId="344EC4F8" w:rsidR="00CA0402" w:rsidRPr="00C72705" w:rsidRDefault="00CA0402" w:rsidP="00532157">
            <w:pPr>
              <w:pStyle w:val="Titre21"/>
              <w:numPr>
                <w:ilvl w:val="1"/>
                <w:numId w:val="3"/>
              </w:numPr>
              <w:ind w:left="352"/>
              <w:rPr>
                <w:sz w:val="22"/>
                <w:szCs w:val="22"/>
                <w:lang w:val="es-ES"/>
              </w:rPr>
            </w:pPr>
            <w:r w:rsidRPr="00C72705">
              <w:rPr>
                <w:sz w:val="22"/>
                <w:szCs w:val="22"/>
                <w:lang w:val="es-ES"/>
              </w:rPr>
              <w:t>Selección Basada en Menor Costo (SBMC)</w:t>
            </w:r>
          </w:p>
        </w:tc>
        <w:tc>
          <w:tcPr>
            <w:tcW w:w="7088" w:type="dxa"/>
            <w:shd w:val="clear" w:color="auto" w:fill="auto"/>
          </w:tcPr>
          <w:p w14:paraId="2ADD721C" w14:textId="2D282020" w:rsidR="00CA0402" w:rsidRPr="00C72705" w:rsidRDefault="00CA0402" w:rsidP="00532157">
            <w:pPr>
              <w:spacing w:after="80"/>
              <w:ind w:left="34"/>
              <w:jc w:val="both"/>
              <w:rPr>
                <w:rFonts w:cs="Times New Roman"/>
                <w:sz w:val="22"/>
                <w:szCs w:val="22"/>
                <w:lang w:val="es-ES"/>
              </w:rPr>
            </w:pPr>
            <w:r w:rsidRPr="00C72705">
              <w:rPr>
                <w:rFonts w:cs="Times New Roman"/>
                <w:sz w:val="22"/>
                <w:szCs w:val="22"/>
                <w:lang w:val="es-ES"/>
              </w:rPr>
              <w:t xml:space="preserve">El contrato se adjudica a la </w:t>
            </w:r>
            <w:r w:rsidR="002A10D9" w:rsidRPr="00C72705">
              <w:rPr>
                <w:rFonts w:cs="Times New Roman"/>
                <w:sz w:val="22"/>
                <w:szCs w:val="22"/>
                <w:lang w:val="es-ES"/>
              </w:rPr>
              <w:t>propuesta</w:t>
            </w:r>
            <w:r w:rsidRPr="00C72705">
              <w:rPr>
                <w:rFonts w:cs="Times New Roman"/>
                <w:sz w:val="22"/>
                <w:szCs w:val="22"/>
                <w:lang w:val="es-ES"/>
              </w:rPr>
              <w:t xml:space="preserve"> financiera </w:t>
            </w:r>
            <w:r w:rsidR="00945A5A" w:rsidRPr="00C72705">
              <w:rPr>
                <w:rFonts w:cs="Times New Roman"/>
                <w:sz w:val="22"/>
                <w:szCs w:val="22"/>
                <w:lang w:val="es-ES"/>
              </w:rPr>
              <w:t xml:space="preserve">técnicamente </w:t>
            </w:r>
            <w:r w:rsidRPr="00C72705">
              <w:rPr>
                <w:rFonts w:cs="Times New Roman"/>
                <w:sz w:val="22"/>
                <w:szCs w:val="22"/>
                <w:lang w:val="es-ES"/>
              </w:rPr>
              <w:t>conforme de precio más bajo. Las propuestas técnicamente conformes son aquellas cuya calificación técnica sean igual o mayor que el puntaje técnico requerido.</w:t>
            </w:r>
          </w:p>
          <w:p w14:paraId="1B343978" w14:textId="0C6F59EB" w:rsidR="00CA0402" w:rsidRPr="00C72705" w:rsidRDefault="00CA0402" w:rsidP="00CA0402">
            <w:pPr>
              <w:spacing w:after="142" w:line="240" w:lineRule="atLeast"/>
              <w:ind w:left="34"/>
              <w:jc w:val="both"/>
              <w:rPr>
                <w:rFonts w:cs="Times New Roman"/>
                <w:sz w:val="22"/>
                <w:szCs w:val="22"/>
                <w:lang w:val="es-ES"/>
              </w:rPr>
            </w:pPr>
            <w:r w:rsidRPr="00C72705">
              <w:rPr>
                <w:rFonts w:cs="Times New Roman"/>
                <w:i/>
                <w:sz w:val="22"/>
                <w:szCs w:val="22"/>
                <w:lang w:val="es-ES"/>
              </w:rPr>
              <w:t>Este método de selección sólo se puede contemplar para servicios de consultoría estándar, sencillos, de monto y relevancia limitados.</w:t>
            </w:r>
          </w:p>
        </w:tc>
      </w:tr>
      <w:tr w:rsidR="00CA0402" w:rsidRPr="00B16DC4" w14:paraId="70189845" w14:textId="77777777" w:rsidTr="00532157">
        <w:tc>
          <w:tcPr>
            <w:tcW w:w="2444" w:type="dxa"/>
            <w:shd w:val="clear" w:color="auto" w:fill="auto"/>
          </w:tcPr>
          <w:p w14:paraId="34F96544" w14:textId="5C31BC07" w:rsidR="00CA0402" w:rsidRPr="00C72705" w:rsidRDefault="00CA0402" w:rsidP="00532157">
            <w:pPr>
              <w:pStyle w:val="Titre21"/>
              <w:numPr>
                <w:ilvl w:val="1"/>
                <w:numId w:val="3"/>
              </w:numPr>
              <w:ind w:left="352"/>
              <w:rPr>
                <w:sz w:val="22"/>
                <w:szCs w:val="22"/>
                <w:lang w:val="es-ES"/>
              </w:rPr>
            </w:pPr>
            <w:r w:rsidRPr="00C72705">
              <w:rPr>
                <w:sz w:val="22"/>
                <w:szCs w:val="22"/>
                <w:lang w:val="es-ES"/>
              </w:rPr>
              <w:t xml:space="preserve"> Selección Basada en Presupuesto Fijo (SBPF) </w:t>
            </w:r>
          </w:p>
        </w:tc>
        <w:tc>
          <w:tcPr>
            <w:tcW w:w="7088" w:type="dxa"/>
            <w:shd w:val="clear" w:color="auto" w:fill="auto"/>
          </w:tcPr>
          <w:p w14:paraId="268564A3" w14:textId="4174BC50" w:rsidR="00CA0402" w:rsidRPr="00C72705" w:rsidRDefault="00CA0402" w:rsidP="00532157">
            <w:pPr>
              <w:spacing w:after="80"/>
              <w:ind w:left="34"/>
              <w:jc w:val="both"/>
              <w:rPr>
                <w:rFonts w:cs="Times New Roman"/>
                <w:sz w:val="22"/>
                <w:szCs w:val="22"/>
                <w:lang w:val="es-ES"/>
              </w:rPr>
            </w:pPr>
            <w:r w:rsidRPr="00C72705">
              <w:rPr>
                <w:rFonts w:cs="Times New Roman"/>
                <w:sz w:val="22"/>
                <w:szCs w:val="22"/>
                <w:lang w:val="es-ES"/>
              </w:rPr>
              <w:t>En el documento de Solicitud de Propuestas se señala un presupuesto fijo límite y se elige la mejor oferta técnica cuya oferta financiera sea igual o inferior al presupuesto fijo. El presupuesto fijo límite debe determinarse de manera apropiada (ni sobrestimado, ni subestimado, con base en una evaluación detallada de las personas/</w:t>
            </w:r>
            <w:proofErr w:type="gramStart"/>
            <w:r w:rsidRPr="00C72705">
              <w:rPr>
                <w:rFonts w:cs="Times New Roman"/>
                <w:sz w:val="22"/>
                <w:szCs w:val="22"/>
                <w:lang w:val="es-ES"/>
              </w:rPr>
              <w:t>meses necesari</w:t>
            </w:r>
            <w:r w:rsidR="00717317" w:rsidRPr="00C72705">
              <w:rPr>
                <w:rFonts w:cs="Times New Roman"/>
                <w:sz w:val="22"/>
                <w:szCs w:val="22"/>
                <w:lang w:val="es-ES"/>
              </w:rPr>
              <w:t>a</w:t>
            </w:r>
            <w:r w:rsidRPr="00C72705">
              <w:rPr>
                <w:rFonts w:cs="Times New Roman"/>
                <w:sz w:val="22"/>
                <w:szCs w:val="22"/>
                <w:lang w:val="es-ES"/>
              </w:rPr>
              <w:t>s</w:t>
            </w:r>
            <w:proofErr w:type="gramEnd"/>
            <w:r w:rsidRPr="00C72705">
              <w:rPr>
                <w:rFonts w:cs="Times New Roman"/>
                <w:sz w:val="22"/>
                <w:szCs w:val="22"/>
                <w:lang w:val="es-ES"/>
              </w:rPr>
              <w:t xml:space="preserve"> y de los precios del mercado).</w:t>
            </w:r>
          </w:p>
          <w:p w14:paraId="5EAEB9BE" w14:textId="6672973B" w:rsidR="00CA0402" w:rsidRPr="00C72705" w:rsidRDefault="00CA0402" w:rsidP="00CA0402">
            <w:pPr>
              <w:spacing w:after="142" w:line="240" w:lineRule="atLeast"/>
              <w:ind w:left="34"/>
              <w:jc w:val="both"/>
              <w:rPr>
                <w:rFonts w:cs="Times New Roman"/>
                <w:sz w:val="22"/>
                <w:szCs w:val="22"/>
                <w:lang w:val="es-ES"/>
              </w:rPr>
            </w:pPr>
            <w:r w:rsidRPr="00C72705">
              <w:rPr>
                <w:rFonts w:cs="Times New Roman"/>
                <w:i/>
                <w:sz w:val="22"/>
                <w:szCs w:val="22"/>
                <w:lang w:val="es-ES"/>
              </w:rPr>
              <w:t>Bajo esta reserva importante, se puede recurrir a este método en el caso de pequeños estudios y de servicios de consultoría sencillos.</w:t>
            </w:r>
          </w:p>
        </w:tc>
      </w:tr>
      <w:tr w:rsidR="00EF73FF" w:rsidRPr="00B16DC4" w14:paraId="2AF61DA8" w14:textId="77777777" w:rsidTr="00532157">
        <w:tc>
          <w:tcPr>
            <w:tcW w:w="2444" w:type="dxa"/>
            <w:shd w:val="clear" w:color="auto" w:fill="auto"/>
          </w:tcPr>
          <w:p w14:paraId="15FE5780" w14:textId="366916B0" w:rsidR="00EF73FF" w:rsidRPr="00C72705" w:rsidRDefault="00536842" w:rsidP="00532157">
            <w:pPr>
              <w:pStyle w:val="Titre21"/>
              <w:numPr>
                <w:ilvl w:val="1"/>
                <w:numId w:val="3"/>
              </w:numPr>
              <w:ind w:left="352"/>
              <w:rPr>
                <w:sz w:val="22"/>
                <w:szCs w:val="22"/>
                <w:lang w:val="es-ES"/>
              </w:rPr>
            </w:pPr>
            <w:r w:rsidRPr="00C72705">
              <w:rPr>
                <w:sz w:val="22"/>
                <w:szCs w:val="22"/>
                <w:lang w:val="es-ES"/>
              </w:rPr>
              <w:t xml:space="preserve">Solicitud de </w:t>
            </w:r>
            <w:r w:rsidR="00FF60C8" w:rsidRPr="00C72705">
              <w:rPr>
                <w:sz w:val="22"/>
                <w:szCs w:val="22"/>
                <w:lang w:val="es-ES"/>
              </w:rPr>
              <w:t>Cotizaci</w:t>
            </w:r>
            <w:r w:rsidR="00BA7DF9">
              <w:rPr>
                <w:sz w:val="22"/>
                <w:szCs w:val="22"/>
                <w:lang w:val="es-ES"/>
              </w:rPr>
              <w:t>ones</w:t>
            </w:r>
          </w:p>
        </w:tc>
        <w:tc>
          <w:tcPr>
            <w:tcW w:w="7088" w:type="dxa"/>
            <w:shd w:val="clear" w:color="auto" w:fill="auto"/>
          </w:tcPr>
          <w:p w14:paraId="543CC021" w14:textId="78983EAB" w:rsidR="00D97A4D" w:rsidRPr="00C72705" w:rsidRDefault="00D97A4D" w:rsidP="00CF26DA">
            <w:pPr>
              <w:jc w:val="both"/>
              <w:rPr>
                <w:sz w:val="22"/>
                <w:szCs w:val="22"/>
                <w:lang w:val="es-ES"/>
              </w:rPr>
            </w:pPr>
            <w:r w:rsidRPr="00C72705">
              <w:rPr>
                <w:rFonts w:eastAsia="Calibri"/>
                <w:sz w:val="22"/>
                <w:szCs w:val="22"/>
                <w:lang w:val="es-ES"/>
              </w:rPr>
              <w:t>S</w:t>
            </w:r>
            <w:r w:rsidR="00536842" w:rsidRPr="00C72705">
              <w:rPr>
                <w:rFonts w:eastAsia="Calibri"/>
                <w:sz w:val="22"/>
                <w:szCs w:val="22"/>
                <w:lang w:val="es-ES"/>
              </w:rPr>
              <w:t xml:space="preserve">e refiere a un proceso de adquisiciones competitivo dirigido a partes potencialmente interesadas, identificadas por </w:t>
            </w:r>
            <w:r w:rsidR="00717317" w:rsidRPr="00C72705">
              <w:rPr>
                <w:rFonts w:eastAsia="Calibri"/>
                <w:sz w:val="22"/>
                <w:szCs w:val="22"/>
                <w:lang w:val="es-ES"/>
              </w:rPr>
              <w:t>la Autoridad Contratante</w:t>
            </w:r>
            <w:r w:rsidR="00536842" w:rsidRPr="00C72705">
              <w:rPr>
                <w:rFonts w:eastAsia="Calibri"/>
                <w:sz w:val="22"/>
                <w:szCs w:val="22"/>
                <w:lang w:val="es-ES"/>
              </w:rPr>
              <w:t xml:space="preserve">, sin publicidad previa (por ejemplo Solicitud de </w:t>
            </w:r>
            <w:r w:rsidR="00BA7DF9" w:rsidRPr="00C72705">
              <w:rPr>
                <w:rFonts w:eastAsia="Calibri"/>
                <w:sz w:val="22"/>
                <w:szCs w:val="22"/>
                <w:lang w:val="es-ES"/>
              </w:rPr>
              <w:t>Cotizaci</w:t>
            </w:r>
            <w:r w:rsidR="00BA7DF9">
              <w:rPr>
                <w:rFonts w:eastAsia="Calibri"/>
                <w:sz w:val="22"/>
                <w:szCs w:val="22"/>
                <w:lang w:val="es-ES"/>
              </w:rPr>
              <w:t>ones</w:t>
            </w:r>
            <w:r w:rsidR="00BA7DF9" w:rsidRPr="00C72705">
              <w:rPr>
                <w:rFonts w:eastAsia="Calibri"/>
                <w:sz w:val="22"/>
                <w:szCs w:val="22"/>
                <w:lang w:val="es-ES"/>
              </w:rPr>
              <w:t xml:space="preserve"> </w:t>
            </w:r>
            <w:r w:rsidR="00536842" w:rsidRPr="00C72705">
              <w:rPr>
                <w:rFonts w:eastAsia="Calibri"/>
                <w:sz w:val="22"/>
                <w:szCs w:val="22"/>
                <w:lang w:val="es-ES"/>
              </w:rPr>
              <w:t xml:space="preserve">para </w:t>
            </w:r>
            <w:r w:rsidR="005C5B0E" w:rsidRPr="00C72705">
              <w:rPr>
                <w:rFonts w:eastAsia="Calibri"/>
                <w:sz w:val="22"/>
                <w:szCs w:val="22"/>
                <w:lang w:val="es-ES"/>
              </w:rPr>
              <w:t>la adquisición</w:t>
            </w:r>
            <w:r w:rsidR="00536842" w:rsidRPr="00C72705">
              <w:rPr>
                <w:rFonts w:eastAsia="Calibri"/>
                <w:sz w:val="22"/>
                <w:szCs w:val="22"/>
                <w:lang w:val="es-ES"/>
              </w:rPr>
              <w:t xml:space="preserve"> de bienes u obras, o Solicitud de Propuesta dirigida a una </w:t>
            </w:r>
            <w:r w:rsidR="00717317" w:rsidRPr="00C72705">
              <w:rPr>
                <w:rFonts w:eastAsia="Calibri"/>
                <w:sz w:val="22"/>
                <w:szCs w:val="22"/>
                <w:lang w:val="es-ES"/>
              </w:rPr>
              <w:t>l</w:t>
            </w:r>
            <w:r w:rsidR="00536842" w:rsidRPr="00C72705">
              <w:rPr>
                <w:rFonts w:eastAsia="Calibri"/>
                <w:sz w:val="22"/>
                <w:szCs w:val="22"/>
                <w:lang w:val="es-ES"/>
              </w:rPr>
              <w:t>ista de consultores elaborada sin previa Solicitud de Expresiones de Interés)</w:t>
            </w:r>
            <w:r w:rsidR="005C5B0E" w:rsidRPr="00C72705">
              <w:rPr>
                <w:rFonts w:eastAsia="Calibri"/>
                <w:sz w:val="22"/>
                <w:szCs w:val="22"/>
                <w:lang w:val="es-ES"/>
              </w:rPr>
              <w:t>,</w:t>
            </w:r>
            <w:r w:rsidR="00536842" w:rsidRPr="00C72705">
              <w:rPr>
                <w:rFonts w:eastAsia="Calibri"/>
                <w:sz w:val="22"/>
                <w:szCs w:val="22"/>
                <w:lang w:val="es-ES"/>
              </w:rPr>
              <w:t xml:space="preserve"> que se reserva normalmente para las adquisiciones  de bienes, obras o servicios de consultoría  o servicios de no consultoría, de bajo monto, por parte de un</w:t>
            </w:r>
            <w:r w:rsidR="00717317" w:rsidRPr="00C72705">
              <w:rPr>
                <w:rFonts w:eastAsia="Calibri"/>
                <w:sz w:val="22"/>
                <w:szCs w:val="22"/>
                <w:lang w:val="es-ES"/>
              </w:rPr>
              <w:t>a Autoridad Contratante</w:t>
            </w:r>
            <w:r w:rsidR="00536842" w:rsidRPr="00C72705">
              <w:rPr>
                <w:rFonts w:eastAsia="Calibri"/>
                <w:sz w:val="22"/>
                <w:szCs w:val="22"/>
                <w:lang w:val="es-ES"/>
              </w:rPr>
              <w:t xml:space="preserve"> que conoce bien a los candidatos existentes.  </w:t>
            </w:r>
          </w:p>
          <w:p w14:paraId="3833815A" w14:textId="48E6E610" w:rsidR="00EF73FF" w:rsidRPr="00C72705" w:rsidRDefault="00EF73FF" w:rsidP="00717317">
            <w:pPr>
              <w:spacing w:after="142" w:line="240" w:lineRule="atLeast"/>
              <w:ind w:left="6" w:right="-108"/>
              <w:jc w:val="both"/>
              <w:rPr>
                <w:rFonts w:cs="Times New Roman"/>
                <w:i/>
                <w:sz w:val="22"/>
                <w:szCs w:val="22"/>
                <w:lang w:val="es-ES"/>
              </w:rPr>
            </w:pPr>
            <w:r w:rsidRPr="00C72705">
              <w:rPr>
                <w:rFonts w:cs="Times New Roman"/>
                <w:i/>
                <w:sz w:val="22"/>
                <w:szCs w:val="22"/>
                <w:lang w:val="es-ES"/>
              </w:rPr>
              <w:t xml:space="preserve">Por lo general, este procedimiento se reserva </w:t>
            </w:r>
            <w:r w:rsidR="00FF60C8" w:rsidRPr="00C72705">
              <w:rPr>
                <w:rFonts w:cs="Times New Roman"/>
                <w:i/>
                <w:sz w:val="22"/>
                <w:szCs w:val="22"/>
                <w:lang w:val="es-ES"/>
              </w:rPr>
              <w:t>para</w:t>
            </w:r>
            <w:r w:rsidRPr="00C72705">
              <w:rPr>
                <w:rFonts w:cs="Times New Roman"/>
                <w:i/>
                <w:sz w:val="22"/>
                <w:szCs w:val="22"/>
                <w:lang w:val="es-ES"/>
              </w:rPr>
              <w:t xml:space="preserve"> la adquisición de bienes y servicios estándar, de </w:t>
            </w:r>
            <w:r w:rsidR="00717317" w:rsidRPr="00C72705">
              <w:rPr>
                <w:rFonts w:cs="Times New Roman"/>
                <w:i/>
                <w:sz w:val="22"/>
                <w:szCs w:val="22"/>
                <w:lang w:val="es-ES"/>
              </w:rPr>
              <w:t xml:space="preserve">importe reducido, a cargo de una Autoridad Contratante </w:t>
            </w:r>
            <w:r w:rsidRPr="00C72705">
              <w:rPr>
                <w:rFonts w:cs="Times New Roman"/>
                <w:i/>
                <w:sz w:val="22"/>
                <w:szCs w:val="22"/>
                <w:lang w:val="es-ES"/>
              </w:rPr>
              <w:t>con buen conocimiento de la oferta existente.</w:t>
            </w:r>
          </w:p>
        </w:tc>
      </w:tr>
      <w:tr w:rsidR="00FF60C8" w:rsidRPr="00B16DC4" w14:paraId="48916226" w14:textId="77777777" w:rsidTr="00532157">
        <w:tc>
          <w:tcPr>
            <w:tcW w:w="2444" w:type="dxa"/>
            <w:shd w:val="clear" w:color="auto" w:fill="auto"/>
          </w:tcPr>
          <w:p w14:paraId="3331DB5B" w14:textId="3DA3DED8" w:rsidR="00FF60C8" w:rsidRPr="00C72705" w:rsidRDefault="00932198" w:rsidP="00532157">
            <w:pPr>
              <w:pStyle w:val="Titre21"/>
              <w:numPr>
                <w:ilvl w:val="1"/>
                <w:numId w:val="3"/>
              </w:numPr>
              <w:ind w:left="352"/>
              <w:rPr>
                <w:sz w:val="22"/>
                <w:szCs w:val="22"/>
                <w:lang w:val="es-ES"/>
              </w:rPr>
            </w:pPr>
            <w:r w:rsidRPr="00C72705">
              <w:rPr>
                <w:sz w:val="22"/>
                <w:szCs w:val="22"/>
                <w:lang w:val="es-ES"/>
              </w:rPr>
              <w:t>Solicitud de Expresiones</w:t>
            </w:r>
            <w:r w:rsidR="00FF60C8" w:rsidRPr="00C72705">
              <w:rPr>
                <w:sz w:val="22"/>
                <w:szCs w:val="22"/>
                <w:lang w:val="es-ES"/>
              </w:rPr>
              <w:t xml:space="preserve"> de Interés (</w:t>
            </w:r>
            <w:r w:rsidRPr="00C72705">
              <w:rPr>
                <w:sz w:val="22"/>
                <w:szCs w:val="22"/>
                <w:lang w:val="es-ES"/>
              </w:rPr>
              <w:t>SEI</w:t>
            </w:r>
            <w:r w:rsidR="00FF60C8" w:rsidRPr="00C72705">
              <w:rPr>
                <w:sz w:val="22"/>
                <w:szCs w:val="22"/>
                <w:lang w:val="es-ES"/>
              </w:rPr>
              <w:t>)</w:t>
            </w:r>
          </w:p>
        </w:tc>
        <w:tc>
          <w:tcPr>
            <w:tcW w:w="7088" w:type="dxa"/>
            <w:shd w:val="clear" w:color="auto" w:fill="auto"/>
          </w:tcPr>
          <w:p w14:paraId="1AB90F6C" w14:textId="744A8509" w:rsidR="00FF60C8" w:rsidRPr="00C72705" w:rsidRDefault="00717317" w:rsidP="00CF26DA">
            <w:pPr>
              <w:jc w:val="both"/>
              <w:rPr>
                <w:rFonts w:eastAsia="Calibri"/>
                <w:sz w:val="22"/>
                <w:szCs w:val="22"/>
                <w:lang w:val="es-ES"/>
              </w:rPr>
            </w:pPr>
            <w:r w:rsidRPr="00C72705">
              <w:rPr>
                <w:rFonts w:eastAsia="Calibri"/>
                <w:sz w:val="22"/>
                <w:szCs w:val="22"/>
                <w:lang w:val="es-ES"/>
              </w:rPr>
              <w:t>Se refiere a una invitación pública y abierta solicitando a consultores interesados a que envíen una solicitud para competir. La Solicitud de Expresión de Interés incluye los datos sobre el contrato y el perfil requerido de los consultores e indica el número mínimo y máximo de consultores que tendrá la Lista Corta.</w:t>
            </w:r>
          </w:p>
        </w:tc>
      </w:tr>
    </w:tbl>
    <w:p w14:paraId="628C39F6" w14:textId="1B354CBC" w:rsidR="00DC0465" w:rsidRDefault="00DC0465">
      <w:pPr>
        <w:spacing w:after="160" w:line="259" w:lineRule="auto"/>
        <w:rPr>
          <w:b/>
          <w:bCs/>
          <w:sz w:val="36"/>
          <w:szCs w:val="36"/>
          <w:lang w:val="es-ES"/>
        </w:rPr>
        <w:sectPr w:rsidR="00DC0465" w:rsidSect="00532157">
          <w:footerReference w:type="default" r:id="rId13"/>
          <w:headerReference w:type="first" r:id="rId14"/>
          <w:footerReference w:type="first" r:id="rId15"/>
          <w:pgSz w:w="11906" w:h="16838" w:code="9"/>
          <w:pgMar w:top="1418" w:right="1134" w:bottom="567" w:left="851" w:header="851" w:footer="567" w:gutter="0"/>
          <w:pgNumType w:fmt="lowerRoman" w:start="1"/>
          <w:cols w:space="708"/>
          <w:titlePg/>
          <w:docGrid w:linePitch="360"/>
        </w:sectPr>
      </w:pPr>
    </w:p>
    <w:p w14:paraId="77295A13" w14:textId="77777777" w:rsidR="002558AB" w:rsidRPr="00052DD1" w:rsidRDefault="002558AB" w:rsidP="00532157">
      <w:pPr>
        <w:rPr>
          <w:b/>
          <w:bCs/>
          <w:sz w:val="36"/>
          <w:szCs w:val="36"/>
          <w:lang w:val="es-ES"/>
        </w:rPr>
      </w:pPr>
    </w:p>
    <w:p w14:paraId="3E1EB022" w14:textId="0A8A197E" w:rsidR="002558AB" w:rsidRPr="00052DD1" w:rsidRDefault="002558AB" w:rsidP="00EF73FF">
      <w:pPr>
        <w:jc w:val="center"/>
        <w:rPr>
          <w:b/>
          <w:bCs/>
          <w:sz w:val="36"/>
          <w:szCs w:val="36"/>
          <w:lang w:val="es-ES"/>
        </w:rPr>
      </w:pPr>
    </w:p>
    <w:p w14:paraId="6F00A78D" w14:textId="6DB7CA07" w:rsidR="002558AB" w:rsidRPr="00052DD1" w:rsidRDefault="002558AB" w:rsidP="00EF73FF">
      <w:pPr>
        <w:jc w:val="center"/>
        <w:rPr>
          <w:b/>
          <w:bCs/>
          <w:sz w:val="36"/>
          <w:szCs w:val="36"/>
          <w:lang w:val="es-ES"/>
        </w:rPr>
      </w:pPr>
    </w:p>
    <w:p w14:paraId="3ECE51AC" w14:textId="77777777" w:rsidR="002558AB" w:rsidRPr="00052DD1" w:rsidRDefault="002558AB" w:rsidP="00EF73FF">
      <w:pPr>
        <w:jc w:val="center"/>
        <w:rPr>
          <w:b/>
          <w:bCs/>
          <w:sz w:val="36"/>
          <w:szCs w:val="36"/>
          <w:lang w:val="es-ES"/>
        </w:rPr>
      </w:pPr>
    </w:p>
    <w:p w14:paraId="1631ADD6" w14:textId="77777777" w:rsidR="00C9348D" w:rsidRPr="00052DD1" w:rsidRDefault="00C9348D" w:rsidP="00EF73FF">
      <w:pPr>
        <w:jc w:val="center"/>
        <w:rPr>
          <w:b/>
          <w:bCs/>
          <w:sz w:val="36"/>
          <w:szCs w:val="36"/>
          <w:lang w:val="es-ES"/>
        </w:rPr>
      </w:pPr>
    </w:p>
    <w:p w14:paraId="5D4F2862" w14:textId="7F79D14C" w:rsidR="00EF73FF" w:rsidRPr="00052DD1" w:rsidRDefault="00EF73FF" w:rsidP="00EF73FF">
      <w:pPr>
        <w:jc w:val="center"/>
        <w:rPr>
          <w:b/>
          <w:bCs/>
          <w:sz w:val="36"/>
          <w:szCs w:val="36"/>
          <w:lang w:val="es-ES"/>
        </w:rPr>
      </w:pPr>
      <w:r w:rsidRPr="00052DD1">
        <w:rPr>
          <w:b/>
          <w:bCs/>
          <w:sz w:val="36"/>
          <w:szCs w:val="36"/>
          <w:lang w:val="es-ES"/>
        </w:rPr>
        <w:t xml:space="preserve">PLAN DE </w:t>
      </w:r>
      <w:r w:rsidR="002558AB" w:rsidRPr="00052DD1">
        <w:rPr>
          <w:b/>
          <w:bCs/>
          <w:sz w:val="36"/>
          <w:szCs w:val="36"/>
          <w:lang w:val="es-ES"/>
        </w:rPr>
        <w:t>ADQUISICIONE</w:t>
      </w:r>
      <w:r w:rsidRPr="00052DD1">
        <w:rPr>
          <w:b/>
          <w:bCs/>
          <w:sz w:val="36"/>
          <w:szCs w:val="36"/>
          <w:lang w:val="es-ES"/>
        </w:rPr>
        <w:t>S</w:t>
      </w:r>
    </w:p>
    <w:p w14:paraId="40CD2320" w14:textId="77777777" w:rsidR="00EF73FF" w:rsidRPr="00052DD1" w:rsidRDefault="00EF73FF" w:rsidP="00EF73FF">
      <w:pPr>
        <w:rPr>
          <w:lang w:val="es-ES"/>
        </w:rPr>
      </w:pPr>
    </w:p>
    <w:p w14:paraId="18C94F34" w14:textId="77777777" w:rsidR="00EF73FF" w:rsidRPr="00052DD1" w:rsidRDefault="00EF73FF" w:rsidP="00EF73FF">
      <w:pPr>
        <w:rPr>
          <w:lang w:val="es-ES"/>
        </w:rPr>
      </w:pPr>
    </w:p>
    <w:p w14:paraId="7DF049CA" w14:textId="77777777" w:rsidR="00EF73FF" w:rsidRPr="00052DD1" w:rsidRDefault="00EF73FF" w:rsidP="00EF73FF">
      <w:pPr>
        <w:tabs>
          <w:tab w:val="left" w:pos="2700"/>
        </w:tabs>
        <w:ind w:right="-1260"/>
        <w:rPr>
          <w:b/>
          <w:sz w:val="28"/>
          <w:szCs w:val="28"/>
          <w:lang w:val="es-ES"/>
        </w:rPr>
      </w:pPr>
    </w:p>
    <w:p w14:paraId="064BCAAA" w14:textId="77777777" w:rsidR="00EF73FF" w:rsidRPr="00052DD1" w:rsidRDefault="00EF73FF" w:rsidP="00EF73FF">
      <w:pPr>
        <w:tabs>
          <w:tab w:val="left" w:pos="2700"/>
        </w:tabs>
        <w:ind w:right="-1260"/>
        <w:rPr>
          <w:b/>
          <w:sz w:val="28"/>
          <w:szCs w:val="28"/>
          <w:lang w:val="es-ES"/>
        </w:rPr>
      </w:pPr>
    </w:p>
    <w:p w14:paraId="24AA8E09" w14:textId="77777777" w:rsidR="00EF73FF" w:rsidRPr="00052DD1" w:rsidRDefault="00EF73FF" w:rsidP="00EF73FF">
      <w:pPr>
        <w:tabs>
          <w:tab w:val="left" w:pos="2700"/>
        </w:tabs>
        <w:ind w:right="-1260"/>
        <w:rPr>
          <w:b/>
          <w:sz w:val="28"/>
          <w:szCs w:val="28"/>
          <w:lang w:val="es-ES"/>
        </w:rPr>
      </w:pPr>
    </w:p>
    <w:p w14:paraId="3E17C48A" w14:textId="77777777" w:rsidR="00EF73FF" w:rsidRPr="00052DD1" w:rsidRDefault="00EF73FF" w:rsidP="00EF73FF">
      <w:pPr>
        <w:tabs>
          <w:tab w:val="left" w:pos="2700"/>
        </w:tabs>
        <w:ind w:right="-1260"/>
        <w:rPr>
          <w:b/>
          <w:sz w:val="28"/>
          <w:szCs w:val="28"/>
          <w:lang w:val="es-ES"/>
        </w:rPr>
      </w:pPr>
      <w:r w:rsidRPr="00052DD1">
        <w:rPr>
          <w:b/>
          <w:sz w:val="28"/>
          <w:szCs w:val="28"/>
          <w:lang w:val="es-ES"/>
        </w:rPr>
        <w:t xml:space="preserve"> </w:t>
      </w:r>
    </w:p>
    <w:p w14:paraId="30DBB0BC" w14:textId="77777777" w:rsidR="00EF73FF" w:rsidRPr="00052DD1" w:rsidRDefault="00EF73FF" w:rsidP="00EF73FF">
      <w:pPr>
        <w:tabs>
          <w:tab w:val="left" w:pos="2700"/>
        </w:tabs>
        <w:ind w:right="-1260"/>
        <w:rPr>
          <w:b/>
          <w:sz w:val="28"/>
          <w:szCs w:val="28"/>
          <w:lang w:val="es-ES"/>
        </w:rPr>
      </w:pPr>
    </w:p>
    <w:p w14:paraId="7717E486" w14:textId="77777777" w:rsidR="00EF73FF" w:rsidRPr="00052DD1" w:rsidRDefault="00EF73FF" w:rsidP="00EF73FF">
      <w:pPr>
        <w:tabs>
          <w:tab w:val="left" w:pos="2700"/>
        </w:tabs>
        <w:ind w:right="-1260"/>
        <w:rPr>
          <w:b/>
          <w:sz w:val="28"/>
          <w:szCs w:val="28"/>
          <w:lang w:val="es-ES"/>
        </w:rPr>
      </w:pPr>
    </w:p>
    <w:p w14:paraId="6AA6ECC7" w14:textId="496C7E66" w:rsidR="00EF73FF" w:rsidRPr="00052DD1" w:rsidRDefault="00CB4514" w:rsidP="00EF73FF">
      <w:pPr>
        <w:jc w:val="center"/>
        <w:rPr>
          <w:rFonts w:cs="Times New Roman"/>
          <w:b/>
          <w:sz w:val="28"/>
          <w:lang w:val="es-ES" w:eastAsia="en-US"/>
        </w:rPr>
      </w:pPr>
      <w:r>
        <w:rPr>
          <w:rFonts w:cs="Times New Roman"/>
          <w:b/>
          <w:sz w:val="28"/>
          <w:lang w:val="es-ES" w:eastAsia="en-US"/>
        </w:rPr>
        <w:t>Autoridad Contratante</w:t>
      </w:r>
      <w:r w:rsidR="00EF73FF" w:rsidRPr="00052DD1">
        <w:rPr>
          <w:rFonts w:cs="Times New Roman"/>
          <w:b/>
          <w:sz w:val="28"/>
          <w:lang w:val="es-ES" w:eastAsia="en-US"/>
        </w:rPr>
        <w:t xml:space="preserve">: …………… </w:t>
      </w:r>
      <w:r>
        <w:rPr>
          <w:rFonts w:cs="Times New Roman"/>
          <w:b/>
          <w:i/>
          <w:sz w:val="28"/>
          <w:lang w:val="es-ES" w:eastAsia="en-US"/>
        </w:rPr>
        <w:t>[indicar el nombre de la Autoridad Contratante</w:t>
      </w:r>
      <w:r w:rsidR="00EF73FF" w:rsidRPr="00052DD1">
        <w:rPr>
          <w:rFonts w:cs="Times New Roman"/>
          <w:b/>
          <w:i/>
          <w:sz w:val="28"/>
          <w:lang w:val="es-ES" w:eastAsia="en-US"/>
        </w:rPr>
        <w:t>]</w:t>
      </w:r>
    </w:p>
    <w:p w14:paraId="20D67120" w14:textId="77777777" w:rsidR="00EF73FF" w:rsidRPr="00052DD1" w:rsidRDefault="00EF73FF" w:rsidP="00EF73FF">
      <w:pPr>
        <w:jc w:val="center"/>
        <w:rPr>
          <w:rFonts w:cs="Times New Roman"/>
          <w:b/>
          <w:sz w:val="28"/>
          <w:lang w:val="es-ES" w:eastAsia="en-US"/>
        </w:rPr>
      </w:pPr>
    </w:p>
    <w:p w14:paraId="5DBEA281" w14:textId="585D40ED" w:rsidR="00EF73FF" w:rsidRPr="00052DD1" w:rsidRDefault="002558AB" w:rsidP="00EF73FF">
      <w:pPr>
        <w:jc w:val="center"/>
        <w:rPr>
          <w:rFonts w:cs="Times New Roman"/>
          <w:b/>
          <w:i/>
          <w:sz w:val="28"/>
          <w:lang w:val="es-ES" w:eastAsia="en-US"/>
        </w:rPr>
      </w:pPr>
      <w:r w:rsidRPr="00052DD1">
        <w:rPr>
          <w:rFonts w:cs="Times New Roman"/>
          <w:b/>
          <w:sz w:val="28"/>
          <w:lang w:val="es-ES" w:eastAsia="en-US"/>
        </w:rPr>
        <w:t>Paí</w:t>
      </w:r>
      <w:r w:rsidR="00EF73FF" w:rsidRPr="00052DD1">
        <w:rPr>
          <w:rFonts w:cs="Times New Roman"/>
          <w:b/>
          <w:sz w:val="28"/>
          <w:lang w:val="es-ES" w:eastAsia="en-US"/>
        </w:rPr>
        <w:t xml:space="preserve">s: </w:t>
      </w:r>
      <w:r w:rsidRPr="00052DD1">
        <w:rPr>
          <w:rFonts w:cs="Times New Roman"/>
          <w:b/>
          <w:i/>
          <w:sz w:val="28"/>
          <w:lang w:val="es-ES" w:eastAsia="en-US"/>
        </w:rPr>
        <w:t>……………. [indicar el nombre del país</w:t>
      </w:r>
      <w:r w:rsidR="00EF73FF" w:rsidRPr="00052DD1">
        <w:rPr>
          <w:rFonts w:cs="Times New Roman"/>
          <w:b/>
          <w:i/>
          <w:sz w:val="28"/>
          <w:lang w:val="es-ES" w:eastAsia="en-US"/>
        </w:rPr>
        <w:t>]</w:t>
      </w:r>
    </w:p>
    <w:p w14:paraId="756D0C72" w14:textId="77777777" w:rsidR="00EF73FF" w:rsidRPr="00052DD1" w:rsidRDefault="00EF73FF" w:rsidP="00EF73FF">
      <w:pPr>
        <w:jc w:val="center"/>
        <w:rPr>
          <w:rFonts w:cs="Times New Roman"/>
          <w:lang w:val="es-ES" w:eastAsia="en-US"/>
        </w:rPr>
      </w:pPr>
    </w:p>
    <w:p w14:paraId="73836C98" w14:textId="73881194" w:rsidR="00EF73FF" w:rsidRPr="00052DD1" w:rsidRDefault="002558AB" w:rsidP="00EF73FF">
      <w:pPr>
        <w:tabs>
          <w:tab w:val="left" w:pos="720"/>
          <w:tab w:val="right" w:leader="dot" w:pos="8640"/>
        </w:tabs>
        <w:jc w:val="center"/>
        <w:rPr>
          <w:rFonts w:cs="Times New Roman"/>
          <w:b/>
          <w:sz w:val="28"/>
          <w:lang w:val="es-ES" w:eastAsia="en-US"/>
        </w:rPr>
      </w:pPr>
      <w:r w:rsidRPr="00052DD1">
        <w:rPr>
          <w:rFonts w:cs="Times New Roman"/>
          <w:b/>
          <w:sz w:val="28"/>
          <w:lang w:val="es-ES" w:eastAsia="en-US"/>
        </w:rPr>
        <w:t>Proyecto</w:t>
      </w:r>
      <w:r w:rsidR="00EF73FF" w:rsidRPr="00052DD1">
        <w:rPr>
          <w:rFonts w:cs="Times New Roman"/>
          <w:b/>
          <w:sz w:val="28"/>
          <w:lang w:val="es-ES" w:eastAsia="en-US"/>
        </w:rPr>
        <w:t xml:space="preserve">: …………… </w:t>
      </w:r>
      <w:r w:rsidR="00EF73FF" w:rsidRPr="00052DD1">
        <w:rPr>
          <w:rFonts w:cs="Times New Roman"/>
          <w:b/>
          <w:i/>
          <w:sz w:val="28"/>
          <w:lang w:val="es-ES" w:eastAsia="en-US"/>
        </w:rPr>
        <w:t>[in</w:t>
      </w:r>
      <w:r w:rsidRPr="00052DD1">
        <w:rPr>
          <w:rFonts w:cs="Times New Roman"/>
          <w:b/>
          <w:i/>
          <w:sz w:val="28"/>
          <w:lang w:val="es-ES" w:eastAsia="en-US"/>
        </w:rPr>
        <w:t>dicar el nombre y el número del proyecto</w:t>
      </w:r>
      <w:r w:rsidR="00EF73FF" w:rsidRPr="00052DD1">
        <w:rPr>
          <w:rFonts w:cs="Times New Roman"/>
          <w:b/>
          <w:i/>
          <w:sz w:val="28"/>
          <w:lang w:val="es-ES" w:eastAsia="en-US"/>
        </w:rPr>
        <w:t>]</w:t>
      </w:r>
    </w:p>
    <w:p w14:paraId="13E9F4BD" w14:textId="77777777" w:rsidR="00EF73FF" w:rsidRPr="00052DD1" w:rsidRDefault="00EF73FF" w:rsidP="00EF73FF">
      <w:pPr>
        <w:tabs>
          <w:tab w:val="left" w:pos="2700"/>
        </w:tabs>
        <w:ind w:right="-1260"/>
        <w:rPr>
          <w:b/>
          <w:sz w:val="28"/>
          <w:szCs w:val="28"/>
          <w:lang w:val="es-ES"/>
        </w:rPr>
      </w:pPr>
    </w:p>
    <w:p w14:paraId="115EB155" w14:textId="0801E6C9" w:rsidR="00EF73FF" w:rsidRPr="00052DD1" w:rsidRDefault="002558AB" w:rsidP="00EF73FF">
      <w:pPr>
        <w:jc w:val="center"/>
        <w:rPr>
          <w:rFonts w:cs="Times New Roman"/>
          <w:b/>
          <w:i/>
          <w:sz w:val="28"/>
          <w:lang w:val="es-ES" w:eastAsia="en-US"/>
        </w:rPr>
      </w:pPr>
      <w:r w:rsidRPr="00052DD1">
        <w:rPr>
          <w:rFonts w:cs="Times New Roman"/>
          <w:b/>
          <w:sz w:val="28"/>
          <w:lang w:val="es-ES" w:eastAsia="en-US"/>
        </w:rPr>
        <w:t>Emitido el</w:t>
      </w:r>
      <w:r w:rsidR="00EF73FF" w:rsidRPr="00052DD1">
        <w:rPr>
          <w:rFonts w:cs="Times New Roman"/>
          <w:b/>
          <w:sz w:val="28"/>
          <w:lang w:val="es-ES" w:eastAsia="en-US"/>
        </w:rPr>
        <w:t>: …………………</w:t>
      </w:r>
      <w:r w:rsidRPr="00052DD1">
        <w:rPr>
          <w:rFonts w:cs="Times New Roman"/>
          <w:b/>
          <w:sz w:val="28"/>
          <w:lang w:val="es-ES" w:eastAsia="en-US"/>
        </w:rPr>
        <w:t xml:space="preserve"> </w:t>
      </w:r>
      <w:r w:rsidRPr="00052DD1">
        <w:rPr>
          <w:rFonts w:cs="Times New Roman"/>
          <w:b/>
          <w:i/>
          <w:sz w:val="28"/>
          <w:lang w:val="es-ES" w:eastAsia="en-US"/>
        </w:rPr>
        <w:t>[fecha de la última versión</w:t>
      </w:r>
      <w:r w:rsidR="00EF73FF" w:rsidRPr="00052DD1">
        <w:rPr>
          <w:rFonts w:cs="Times New Roman"/>
          <w:b/>
          <w:i/>
          <w:sz w:val="28"/>
          <w:lang w:val="es-ES" w:eastAsia="en-US"/>
        </w:rPr>
        <w:t>]</w:t>
      </w:r>
    </w:p>
    <w:p w14:paraId="78C5C5F8" w14:textId="77777777" w:rsidR="00EF73FF" w:rsidRPr="00052DD1" w:rsidRDefault="00EF73FF" w:rsidP="00EF73FF">
      <w:pPr>
        <w:tabs>
          <w:tab w:val="left" w:pos="2700"/>
        </w:tabs>
        <w:ind w:right="-1260"/>
        <w:rPr>
          <w:b/>
          <w:sz w:val="28"/>
          <w:szCs w:val="28"/>
          <w:lang w:val="es-ES"/>
        </w:rPr>
      </w:pPr>
    </w:p>
    <w:p w14:paraId="5648AEDB" w14:textId="77777777" w:rsidR="00EF73FF" w:rsidRPr="00052DD1" w:rsidRDefault="00EF73FF" w:rsidP="00EF73FF">
      <w:pPr>
        <w:tabs>
          <w:tab w:val="left" w:pos="2700"/>
        </w:tabs>
        <w:ind w:right="-1260"/>
        <w:rPr>
          <w:b/>
          <w:bCs/>
          <w:sz w:val="28"/>
          <w:szCs w:val="28"/>
          <w:lang w:val="es-ES"/>
        </w:rPr>
      </w:pPr>
    </w:p>
    <w:p w14:paraId="3D68F9D3" w14:textId="77777777" w:rsidR="00EF73FF" w:rsidRPr="00052DD1" w:rsidRDefault="00EF73FF" w:rsidP="00EF73FF">
      <w:pPr>
        <w:ind w:firstLine="708"/>
        <w:jc w:val="both"/>
        <w:rPr>
          <w:i/>
          <w:lang w:val="es-E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35"/>
        <w:gridCol w:w="2268"/>
      </w:tblGrid>
      <w:tr w:rsidR="00EF73FF" w:rsidRPr="00B16DC4" w14:paraId="56397F22" w14:textId="77777777" w:rsidTr="00AD5350">
        <w:tc>
          <w:tcPr>
            <w:tcW w:w="3168" w:type="dxa"/>
            <w:shd w:val="clear" w:color="auto" w:fill="auto"/>
            <w:vAlign w:val="center"/>
          </w:tcPr>
          <w:p w14:paraId="7F44ED90" w14:textId="1875612F" w:rsidR="00EF73FF" w:rsidRPr="00052DD1" w:rsidRDefault="002558AB" w:rsidP="00AD5350">
            <w:pPr>
              <w:ind w:left="-142"/>
              <w:jc w:val="center"/>
              <w:rPr>
                <w:b/>
                <w:sz w:val="20"/>
                <w:szCs w:val="20"/>
                <w:lang w:val="es-ES"/>
              </w:rPr>
            </w:pPr>
            <w:r w:rsidRPr="00052DD1">
              <w:rPr>
                <w:b/>
                <w:sz w:val="20"/>
                <w:szCs w:val="20"/>
                <w:lang w:val="es-ES"/>
              </w:rPr>
              <w:t>Versiones</w:t>
            </w:r>
          </w:p>
        </w:tc>
        <w:tc>
          <w:tcPr>
            <w:tcW w:w="1935" w:type="dxa"/>
            <w:shd w:val="clear" w:color="auto" w:fill="auto"/>
            <w:vAlign w:val="center"/>
          </w:tcPr>
          <w:p w14:paraId="125AAC52" w14:textId="63D63D48" w:rsidR="00EF73FF" w:rsidRPr="00052DD1" w:rsidRDefault="002558AB" w:rsidP="00CB4514">
            <w:pPr>
              <w:jc w:val="center"/>
              <w:rPr>
                <w:b/>
                <w:sz w:val="20"/>
                <w:szCs w:val="20"/>
                <w:lang w:val="es-ES"/>
              </w:rPr>
            </w:pPr>
            <w:r w:rsidRPr="00052DD1">
              <w:rPr>
                <w:b/>
                <w:sz w:val="20"/>
                <w:szCs w:val="20"/>
                <w:lang w:val="es-ES"/>
              </w:rPr>
              <w:t xml:space="preserve">Fecha de </w:t>
            </w:r>
            <w:r w:rsidR="009F6E9A">
              <w:rPr>
                <w:b/>
                <w:sz w:val="20"/>
                <w:szCs w:val="20"/>
                <w:lang w:val="es-ES"/>
              </w:rPr>
              <w:t>emisión</w:t>
            </w:r>
            <w:r w:rsidRPr="00052DD1">
              <w:rPr>
                <w:b/>
                <w:sz w:val="20"/>
                <w:szCs w:val="20"/>
                <w:lang w:val="es-ES"/>
              </w:rPr>
              <w:t xml:space="preserve"> por </w:t>
            </w:r>
            <w:r w:rsidR="00CB4514">
              <w:rPr>
                <w:b/>
                <w:sz w:val="20"/>
                <w:szCs w:val="20"/>
                <w:lang w:val="es-ES"/>
              </w:rPr>
              <w:t>la Autoridad Contratante</w:t>
            </w:r>
            <w:r w:rsidR="00020B62" w:rsidRPr="00052DD1">
              <w:rPr>
                <w:b/>
                <w:sz w:val="20"/>
                <w:szCs w:val="20"/>
                <w:lang w:val="es-ES"/>
              </w:rPr>
              <w:t xml:space="preserve"> </w:t>
            </w:r>
          </w:p>
        </w:tc>
        <w:tc>
          <w:tcPr>
            <w:tcW w:w="2268" w:type="dxa"/>
            <w:shd w:val="clear" w:color="auto" w:fill="auto"/>
            <w:vAlign w:val="center"/>
          </w:tcPr>
          <w:p w14:paraId="3B9174C5" w14:textId="0E6FEE19" w:rsidR="00EF73FF" w:rsidRPr="00052DD1" w:rsidRDefault="00856156" w:rsidP="002558AB">
            <w:pPr>
              <w:jc w:val="center"/>
              <w:rPr>
                <w:b/>
                <w:sz w:val="20"/>
                <w:szCs w:val="20"/>
                <w:lang w:val="es-ES"/>
              </w:rPr>
            </w:pPr>
            <w:r w:rsidRPr="00052DD1">
              <w:rPr>
                <w:b/>
                <w:sz w:val="20"/>
                <w:szCs w:val="20"/>
                <w:lang w:val="es-ES"/>
              </w:rPr>
              <w:t xml:space="preserve">Fecha de la </w:t>
            </w:r>
            <w:r w:rsidR="00C702FE" w:rsidRPr="00052DD1">
              <w:rPr>
                <w:b/>
                <w:sz w:val="20"/>
                <w:szCs w:val="20"/>
                <w:lang w:val="es-ES"/>
              </w:rPr>
              <w:t>Carta</w:t>
            </w:r>
            <w:r w:rsidR="002558AB" w:rsidRPr="00052DD1">
              <w:rPr>
                <w:b/>
                <w:sz w:val="20"/>
                <w:szCs w:val="20"/>
                <w:lang w:val="es-ES"/>
              </w:rPr>
              <w:t xml:space="preserve"> de No Objeción de la AFD</w:t>
            </w:r>
          </w:p>
        </w:tc>
      </w:tr>
      <w:tr w:rsidR="00EF73FF" w:rsidRPr="00052DD1" w14:paraId="10577A93" w14:textId="77777777" w:rsidTr="00AD5350">
        <w:tc>
          <w:tcPr>
            <w:tcW w:w="3168" w:type="dxa"/>
            <w:shd w:val="clear" w:color="auto" w:fill="auto"/>
          </w:tcPr>
          <w:p w14:paraId="76CF25D2" w14:textId="6C91B883" w:rsidR="00EF73FF" w:rsidRPr="00052DD1" w:rsidRDefault="00EF73FF" w:rsidP="00AD5350">
            <w:pPr>
              <w:rPr>
                <w:i/>
                <w:sz w:val="20"/>
                <w:szCs w:val="20"/>
                <w:lang w:val="es-ES"/>
              </w:rPr>
            </w:pPr>
            <w:r w:rsidRPr="00052DD1">
              <w:rPr>
                <w:i/>
                <w:sz w:val="20"/>
                <w:szCs w:val="20"/>
                <w:lang w:val="es-ES"/>
              </w:rPr>
              <w:t>[</w:t>
            </w:r>
            <w:r w:rsidR="002558AB" w:rsidRPr="00052DD1">
              <w:rPr>
                <w:i/>
                <w:sz w:val="20"/>
                <w:szCs w:val="20"/>
                <w:lang w:val="es-ES"/>
              </w:rPr>
              <w:t>Versión inicial</w:t>
            </w:r>
            <w:r w:rsidRPr="00052DD1">
              <w:rPr>
                <w:i/>
                <w:sz w:val="20"/>
                <w:szCs w:val="20"/>
                <w:lang w:val="es-ES"/>
              </w:rPr>
              <w:t>]</w:t>
            </w:r>
          </w:p>
        </w:tc>
        <w:tc>
          <w:tcPr>
            <w:tcW w:w="1935" w:type="dxa"/>
            <w:shd w:val="clear" w:color="auto" w:fill="auto"/>
          </w:tcPr>
          <w:p w14:paraId="03EAEDC4" w14:textId="77777777" w:rsidR="00EF73FF" w:rsidRPr="00052DD1" w:rsidRDefault="00EF73FF" w:rsidP="00AD5350">
            <w:pPr>
              <w:rPr>
                <w:i/>
                <w:sz w:val="20"/>
                <w:szCs w:val="20"/>
                <w:lang w:val="es-ES"/>
              </w:rPr>
            </w:pPr>
          </w:p>
        </w:tc>
        <w:tc>
          <w:tcPr>
            <w:tcW w:w="2268" w:type="dxa"/>
            <w:shd w:val="clear" w:color="auto" w:fill="auto"/>
          </w:tcPr>
          <w:p w14:paraId="66B03112" w14:textId="77777777" w:rsidR="00EF73FF" w:rsidRPr="00052DD1" w:rsidRDefault="00EF73FF" w:rsidP="00AD5350">
            <w:pPr>
              <w:rPr>
                <w:i/>
                <w:sz w:val="20"/>
                <w:szCs w:val="20"/>
                <w:lang w:val="es-ES"/>
              </w:rPr>
            </w:pPr>
          </w:p>
        </w:tc>
      </w:tr>
      <w:tr w:rsidR="00EF73FF" w:rsidRPr="00052DD1" w14:paraId="098EFE5C" w14:textId="77777777" w:rsidTr="00AD5350">
        <w:tc>
          <w:tcPr>
            <w:tcW w:w="3168" w:type="dxa"/>
            <w:shd w:val="clear" w:color="auto" w:fill="auto"/>
          </w:tcPr>
          <w:p w14:paraId="0706169F" w14:textId="573D33D1" w:rsidR="00EF73FF" w:rsidRPr="00052DD1" w:rsidRDefault="00EF73FF" w:rsidP="00AD5350">
            <w:pPr>
              <w:rPr>
                <w:i/>
                <w:sz w:val="20"/>
                <w:szCs w:val="20"/>
                <w:lang w:val="es-ES"/>
              </w:rPr>
            </w:pPr>
            <w:r w:rsidRPr="00052DD1">
              <w:rPr>
                <w:i/>
                <w:sz w:val="20"/>
                <w:szCs w:val="20"/>
                <w:lang w:val="es-ES"/>
              </w:rPr>
              <w:t>[</w:t>
            </w:r>
            <w:r w:rsidR="002558AB" w:rsidRPr="00052DD1">
              <w:rPr>
                <w:i/>
                <w:sz w:val="20"/>
                <w:szCs w:val="20"/>
                <w:lang w:val="es-ES"/>
              </w:rPr>
              <w:t>Actualización</w:t>
            </w:r>
            <w:r w:rsidRPr="00052DD1">
              <w:rPr>
                <w:i/>
                <w:sz w:val="20"/>
                <w:szCs w:val="20"/>
                <w:lang w:val="es-ES"/>
              </w:rPr>
              <w:t xml:space="preserve"> 1]</w:t>
            </w:r>
          </w:p>
        </w:tc>
        <w:tc>
          <w:tcPr>
            <w:tcW w:w="1935" w:type="dxa"/>
            <w:shd w:val="clear" w:color="auto" w:fill="auto"/>
          </w:tcPr>
          <w:p w14:paraId="0F9E949A" w14:textId="77777777" w:rsidR="00EF73FF" w:rsidRPr="00052DD1" w:rsidRDefault="00EF73FF" w:rsidP="00AD5350">
            <w:pPr>
              <w:rPr>
                <w:i/>
                <w:sz w:val="20"/>
                <w:szCs w:val="20"/>
                <w:lang w:val="es-ES"/>
              </w:rPr>
            </w:pPr>
          </w:p>
        </w:tc>
        <w:tc>
          <w:tcPr>
            <w:tcW w:w="2268" w:type="dxa"/>
            <w:shd w:val="clear" w:color="auto" w:fill="auto"/>
          </w:tcPr>
          <w:p w14:paraId="51B78C52" w14:textId="77777777" w:rsidR="00EF73FF" w:rsidRPr="00052DD1" w:rsidRDefault="00EF73FF" w:rsidP="00AD5350">
            <w:pPr>
              <w:rPr>
                <w:i/>
                <w:sz w:val="20"/>
                <w:szCs w:val="20"/>
                <w:lang w:val="es-ES"/>
              </w:rPr>
            </w:pPr>
          </w:p>
        </w:tc>
      </w:tr>
      <w:tr w:rsidR="00EF73FF" w:rsidRPr="00052DD1" w14:paraId="62DE7AF0" w14:textId="77777777" w:rsidTr="00AD5350">
        <w:tc>
          <w:tcPr>
            <w:tcW w:w="3168" w:type="dxa"/>
            <w:shd w:val="clear" w:color="auto" w:fill="auto"/>
          </w:tcPr>
          <w:p w14:paraId="4DC0B75C" w14:textId="41CF7776" w:rsidR="00EF73FF" w:rsidRPr="00052DD1" w:rsidRDefault="00EF73FF" w:rsidP="00AD5350">
            <w:pPr>
              <w:rPr>
                <w:i/>
                <w:sz w:val="20"/>
                <w:szCs w:val="20"/>
                <w:lang w:val="es-ES"/>
              </w:rPr>
            </w:pPr>
            <w:r w:rsidRPr="00052DD1">
              <w:rPr>
                <w:i/>
                <w:sz w:val="20"/>
                <w:szCs w:val="20"/>
                <w:lang w:val="es-ES"/>
              </w:rPr>
              <w:t>[</w:t>
            </w:r>
            <w:r w:rsidR="002558AB" w:rsidRPr="00052DD1">
              <w:rPr>
                <w:i/>
                <w:sz w:val="20"/>
                <w:szCs w:val="20"/>
                <w:lang w:val="es-ES"/>
              </w:rPr>
              <w:t xml:space="preserve">Actualización </w:t>
            </w:r>
            <w:r w:rsidRPr="00052DD1">
              <w:rPr>
                <w:i/>
                <w:sz w:val="20"/>
                <w:szCs w:val="20"/>
                <w:lang w:val="es-ES"/>
              </w:rPr>
              <w:t>2]</w:t>
            </w:r>
          </w:p>
        </w:tc>
        <w:tc>
          <w:tcPr>
            <w:tcW w:w="1935" w:type="dxa"/>
            <w:shd w:val="clear" w:color="auto" w:fill="auto"/>
          </w:tcPr>
          <w:p w14:paraId="75471724" w14:textId="77777777" w:rsidR="00EF73FF" w:rsidRPr="00052DD1" w:rsidRDefault="00EF73FF" w:rsidP="00AD5350">
            <w:pPr>
              <w:rPr>
                <w:i/>
                <w:sz w:val="20"/>
                <w:szCs w:val="20"/>
                <w:lang w:val="es-ES"/>
              </w:rPr>
            </w:pPr>
          </w:p>
        </w:tc>
        <w:tc>
          <w:tcPr>
            <w:tcW w:w="2268" w:type="dxa"/>
            <w:shd w:val="clear" w:color="auto" w:fill="auto"/>
          </w:tcPr>
          <w:p w14:paraId="434FAE4C" w14:textId="77777777" w:rsidR="00EF73FF" w:rsidRPr="00052DD1" w:rsidRDefault="00EF73FF" w:rsidP="00AD5350">
            <w:pPr>
              <w:rPr>
                <w:i/>
                <w:sz w:val="20"/>
                <w:szCs w:val="20"/>
                <w:lang w:val="es-ES"/>
              </w:rPr>
            </w:pPr>
          </w:p>
        </w:tc>
      </w:tr>
      <w:tr w:rsidR="00EF73FF" w:rsidRPr="00052DD1" w14:paraId="5F17F57C" w14:textId="77777777" w:rsidTr="00AD5350">
        <w:tc>
          <w:tcPr>
            <w:tcW w:w="3168" w:type="dxa"/>
            <w:shd w:val="clear" w:color="auto" w:fill="auto"/>
          </w:tcPr>
          <w:p w14:paraId="0C1F4785" w14:textId="77777777" w:rsidR="00EF73FF" w:rsidRPr="00052DD1" w:rsidRDefault="00EF73FF" w:rsidP="00AD5350">
            <w:pPr>
              <w:rPr>
                <w:i/>
                <w:sz w:val="20"/>
                <w:szCs w:val="20"/>
                <w:lang w:val="es-ES"/>
              </w:rPr>
            </w:pPr>
          </w:p>
        </w:tc>
        <w:tc>
          <w:tcPr>
            <w:tcW w:w="1935" w:type="dxa"/>
            <w:shd w:val="clear" w:color="auto" w:fill="auto"/>
          </w:tcPr>
          <w:p w14:paraId="2707763C" w14:textId="77777777" w:rsidR="00EF73FF" w:rsidRPr="00052DD1" w:rsidRDefault="00EF73FF" w:rsidP="00AD5350">
            <w:pPr>
              <w:rPr>
                <w:i/>
                <w:sz w:val="20"/>
                <w:szCs w:val="20"/>
                <w:lang w:val="es-ES"/>
              </w:rPr>
            </w:pPr>
          </w:p>
        </w:tc>
        <w:tc>
          <w:tcPr>
            <w:tcW w:w="2268" w:type="dxa"/>
            <w:shd w:val="clear" w:color="auto" w:fill="auto"/>
          </w:tcPr>
          <w:p w14:paraId="644FA91F" w14:textId="77777777" w:rsidR="00EF73FF" w:rsidRPr="00052DD1" w:rsidRDefault="00EF73FF" w:rsidP="00AD5350">
            <w:pPr>
              <w:rPr>
                <w:i/>
                <w:sz w:val="20"/>
                <w:szCs w:val="20"/>
                <w:lang w:val="es-ES"/>
              </w:rPr>
            </w:pPr>
          </w:p>
        </w:tc>
      </w:tr>
      <w:tr w:rsidR="00EF73FF" w:rsidRPr="00052DD1" w14:paraId="619F2B88" w14:textId="77777777" w:rsidTr="00AD5350">
        <w:tc>
          <w:tcPr>
            <w:tcW w:w="3168" w:type="dxa"/>
            <w:shd w:val="clear" w:color="auto" w:fill="auto"/>
          </w:tcPr>
          <w:p w14:paraId="35316D1D" w14:textId="77777777" w:rsidR="00EF73FF" w:rsidRPr="00052DD1" w:rsidRDefault="00EF73FF" w:rsidP="00AD5350">
            <w:pPr>
              <w:rPr>
                <w:i/>
                <w:sz w:val="20"/>
                <w:szCs w:val="20"/>
                <w:lang w:val="es-ES"/>
              </w:rPr>
            </w:pPr>
          </w:p>
        </w:tc>
        <w:tc>
          <w:tcPr>
            <w:tcW w:w="1935" w:type="dxa"/>
            <w:shd w:val="clear" w:color="auto" w:fill="auto"/>
          </w:tcPr>
          <w:p w14:paraId="4433CDEC" w14:textId="77777777" w:rsidR="00EF73FF" w:rsidRPr="00052DD1" w:rsidRDefault="00EF73FF" w:rsidP="00AD5350">
            <w:pPr>
              <w:rPr>
                <w:i/>
                <w:sz w:val="20"/>
                <w:szCs w:val="20"/>
                <w:lang w:val="es-ES"/>
              </w:rPr>
            </w:pPr>
          </w:p>
        </w:tc>
        <w:tc>
          <w:tcPr>
            <w:tcW w:w="2268" w:type="dxa"/>
            <w:shd w:val="clear" w:color="auto" w:fill="auto"/>
          </w:tcPr>
          <w:p w14:paraId="126FAF27" w14:textId="77777777" w:rsidR="00EF73FF" w:rsidRPr="00052DD1" w:rsidRDefault="00EF73FF" w:rsidP="00AD5350">
            <w:pPr>
              <w:rPr>
                <w:i/>
                <w:sz w:val="20"/>
                <w:szCs w:val="20"/>
                <w:lang w:val="es-ES"/>
              </w:rPr>
            </w:pPr>
          </w:p>
        </w:tc>
      </w:tr>
      <w:tr w:rsidR="00EF73FF" w:rsidRPr="00052DD1" w14:paraId="6BC169DF" w14:textId="77777777" w:rsidTr="00AD5350">
        <w:tc>
          <w:tcPr>
            <w:tcW w:w="3168" w:type="dxa"/>
            <w:shd w:val="clear" w:color="auto" w:fill="auto"/>
          </w:tcPr>
          <w:p w14:paraId="3255DB5F" w14:textId="77777777" w:rsidR="00EF73FF" w:rsidRPr="00052DD1" w:rsidRDefault="00EF73FF" w:rsidP="00AD5350">
            <w:pPr>
              <w:rPr>
                <w:i/>
                <w:sz w:val="20"/>
                <w:szCs w:val="20"/>
                <w:lang w:val="es-ES"/>
              </w:rPr>
            </w:pPr>
          </w:p>
        </w:tc>
        <w:tc>
          <w:tcPr>
            <w:tcW w:w="1935" w:type="dxa"/>
            <w:shd w:val="clear" w:color="auto" w:fill="auto"/>
          </w:tcPr>
          <w:p w14:paraId="22CD929F" w14:textId="77777777" w:rsidR="00EF73FF" w:rsidRPr="00052DD1" w:rsidRDefault="00EF73FF" w:rsidP="00AD5350">
            <w:pPr>
              <w:rPr>
                <w:i/>
                <w:sz w:val="20"/>
                <w:szCs w:val="20"/>
                <w:lang w:val="es-ES"/>
              </w:rPr>
            </w:pPr>
          </w:p>
        </w:tc>
        <w:tc>
          <w:tcPr>
            <w:tcW w:w="2268" w:type="dxa"/>
            <w:shd w:val="clear" w:color="auto" w:fill="auto"/>
          </w:tcPr>
          <w:p w14:paraId="437E9FB3" w14:textId="77777777" w:rsidR="00EF73FF" w:rsidRPr="00052DD1" w:rsidRDefault="00EF73FF" w:rsidP="00AD5350">
            <w:pPr>
              <w:rPr>
                <w:i/>
                <w:sz w:val="20"/>
                <w:szCs w:val="20"/>
                <w:lang w:val="es-ES"/>
              </w:rPr>
            </w:pPr>
          </w:p>
        </w:tc>
      </w:tr>
      <w:tr w:rsidR="00EF73FF" w:rsidRPr="00052DD1" w14:paraId="724F5B12" w14:textId="77777777" w:rsidTr="00AD5350">
        <w:tc>
          <w:tcPr>
            <w:tcW w:w="3168" w:type="dxa"/>
            <w:shd w:val="clear" w:color="auto" w:fill="auto"/>
          </w:tcPr>
          <w:p w14:paraId="760773AA" w14:textId="77777777" w:rsidR="00EF73FF" w:rsidRPr="00052DD1" w:rsidRDefault="00EF73FF" w:rsidP="00AD5350">
            <w:pPr>
              <w:rPr>
                <w:i/>
                <w:sz w:val="20"/>
                <w:szCs w:val="20"/>
                <w:lang w:val="es-ES"/>
              </w:rPr>
            </w:pPr>
          </w:p>
        </w:tc>
        <w:tc>
          <w:tcPr>
            <w:tcW w:w="1935" w:type="dxa"/>
            <w:shd w:val="clear" w:color="auto" w:fill="auto"/>
          </w:tcPr>
          <w:p w14:paraId="16ED3114" w14:textId="77777777" w:rsidR="00EF73FF" w:rsidRPr="00052DD1" w:rsidRDefault="00EF73FF" w:rsidP="00AD5350">
            <w:pPr>
              <w:rPr>
                <w:i/>
                <w:sz w:val="20"/>
                <w:szCs w:val="20"/>
                <w:lang w:val="es-ES"/>
              </w:rPr>
            </w:pPr>
          </w:p>
        </w:tc>
        <w:tc>
          <w:tcPr>
            <w:tcW w:w="2268" w:type="dxa"/>
            <w:shd w:val="clear" w:color="auto" w:fill="auto"/>
          </w:tcPr>
          <w:p w14:paraId="24808A88" w14:textId="77777777" w:rsidR="00EF73FF" w:rsidRPr="00052DD1" w:rsidRDefault="00EF73FF" w:rsidP="00AD5350">
            <w:pPr>
              <w:rPr>
                <w:i/>
                <w:sz w:val="20"/>
                <w:szCs w:val="20"/>
                <w:lang w:val="es-ES"/>
              </w:rPr>
            </w:pPr>
          </w:p>
        </w:tc>
      </w:tr>
      <w:tr w:rsidR="00EF73FF" w:rsidRPr="00052DD1" w14:paraId="3F11CC52" w14:textId="77777777" w:rsidTr="00AD5350">
        <w:tc>
          <w:tcPr>
            <w:tcW w:w="3168" w:type="dxa"/>
            <w:shd w:val="clear" w:color="auto" w:fill="auto"/>
          </w:tcPr>
          <w:p w14:paraId="6965AF4F" w14:textId="01146F63" w:rsidR="00EF73FF" w:rsidRPr="00052DD1" w:rsidRDefault="00EF73FF" w:rsidP="00AD5350">
            <w:pPr>
              <w:rPr>
                <w:i/>
                <w:sz w:val="20"/>
                <w:szCs w:val="20"/>
                <w:lang w:val="es-ES"/>
              </w:rPr>
            </w:pPr>
            <w:r w:rsidRPr="00052DD1">
              <w:rPr>
                <w:i/>
                <w:sz w:val="20"/>
                <w:szCs w:val="20"/>
                <w:lang w:val="es-ES"/>
              </w:rPr>
              <w:t>[</w:t>
            </w:r>
            <w:r w:rsidR="002558AB" w:rsidRPr="00052DD1">
              <w:rPr>
                <w:i/>
                <w:sz w:val="20"/>
                <w:szCs w:val="20"/>
                <w:lang w:val="es-ES"/>
              </w:rPr>
              <w:t xml:space="preserve">Actualización </w:t>
            </w:r>
            <w:r w:rsidRPr="00052DD1">
              <w:rPr>
                <w:i/>
                <w:sz w:val="20"/>
                <w:szCs w:val="20"/>
                <w:lang w:val="es-ES"/>
              </w:rPr>
              <w:t>n]</w:t>
            </w:r>
          </w:p>
        </w:tc>
        <w:tc>
          <w:tcPr>
            <w:tcW w:w="1935" w:type="dxa"/>
            <w:shd w:val="clear" w:color="auto" w:fill="auto"/>
          </w:tcPr>
          <w:p w14:paraId="7D034795" w14:textId="77777777" w:rsidR="00EF73FF" w:rsidRPr="00052DD1" w:rsidRDefault="00EF73FF" w:rsidP="00AD5350">
            <w:pPr>
              <w:rPr>
                <w:i/>
                <w:sz w:val="20"/>
                <w:szCs w:val="20"/>
                <w:lang w:val="es-ES"/>
              </w:rPr>
            </w:pPr>
          </w:p>
        </w:tc>
        <w:tc>
          <w:tcPr>
            <w:tcW w:w="2268" w:type="dxa"/>
            <w:shd w:val="clear" w:color="auto" w:fill="auto"/>
          </w:tcPr>
          <w:p w14:paraId="01DE0FD3" w14:textId="77777777" w:rsidR="00EF73FF" w:rsidRPr="00052DD1" w:rsidRDefault="00EF73FF" w:rsidP="00AD5350">
            <w:pPr>
              <w:rPr>
                <w:i/>
                <w:sz w:val="20"/>
                <w:szCs w:val="20"/>
                <w:lang w:val="es-ES"/>
              </w:rPr>
            </w:pPr>
          </w:p>
        </w:tc>
      </w:tr>
    </w:tbl>
    <w:p w14:paraId="28D84840" w14:textId="77777777" w:rsidR="00EF73FF" w:rsidRPr="00052DD1" w:rsidRDefault="00EF73FF" w:rsidP="00A37F63">
      <w:pPr>
        <w:spacing w:after="142" w:line="240" w:lineRule="atLeast"/>
        <w:ind w:left="720" w:hanging="720"/>
        <w:jc w:val="both"/>
        <w:rPr>
          <w:rFonts w:cs="Times New Roman"/>
          <w:lang w:val="es-ES"/>
        </w:rPr>
      </w:pPr>
    </w:p>
    <w:p w14:paraId="0C587D4B" w14:textId="77777777" w:rsidR="00E2228C" w:rsidRPr="00052DD1" w:rsidRDefault="00E2228C" w:rsidP="00E2228C">
      <w:pPr>
        <w:suppressAutoHyphens/>
        <w:jc w:val="center"/>
        <w:rPr>
          <w:rFonts w:cs="Times New Roman"/>
          <w:b/>
          <w:sz w:val="28"/>
          <w:szCs w:val="28"/>
          <w:lang w:val="es-ES" w:eastAsia="en-US"/>
        </w:rPr>
      </w:pPr>
    </w:p>
    <w:p w14:paraId="6F6AF409" w14:textId="77777777" w:rsidR="00E2228C" w:rsidRPr="00052DD1" w:rsidRDefault="00E2228C" w:rsidP="00E2228C">
      <w:pPr>
        <w:suppressAutoHyphens/>
        <w:jc w:val="center"/>
        <w:rPr>
          <w:rFonts w:cs="Times New Roman"/>
          <w:b/>
          <w:sz w:val="28"/>
          <w:szCs w:val="28"/>
          <w:lang w:val="es-ES" w:eastAsia="en-US"/>
        </w:rPr>
        <w:sectPr w:rsidR="00E2228C" w:rsidRPr="00052DD1" w:rsidSect="000F2757">
          <w:headerReference w:type="first" r:id="rId16"/>
          <w:footerReference w:type="first" r:id="rId17"/>
          <w:pgSz w:w="11906" w:h="16838" w:code="9"/>
          <w:pgMar w:top="1418" w:right="1134" w:bottom="1418" w:left="851" w:header="850" w:footer="567" w:gutter="0"/>
          <w:pgNumType w:start="1"/>
          <w:cols w:space="708"/>
          <w:titlePg/>
          <w:docGrid w:linePitch="360"/>
        </w:sectPr>
      </w:pPr>
    </w:p>
    <w:p w14:paraId="59B3FD6E" w14:textId="58DBB09B" w:rsidR="005B6EAE" w:rsidRPr="00052DD1" w:rsidRDefault="005B6EAE" w:rsidP="00655606">
      <w:pPr>
        <w:jc w:val="center"/>
        <w:rPr>
          <w:rFonts w:cs="Times New Roman"/>
          <w:b/>
          <w:sz w:val="28"/>
          <w:szCs w:val="28"/>
          <w:u w:val="single"/>
          <w:lang w:val="es-ES" w:eastAsia="en-US"/>
        </w:rPr>
      </w:pPr>
      <w:r w:rsidRPr="00052DD1">
        <w:rPr>
          <w:rFonts w:cs="Times New Roman"/>
          <w:b/>
          <w:sz w:val="28"/>
          <w:szCs w:val="28"/>
          <w:u w:val="single"/>
          <w:lang w:val="es-ES" w:eastAsia="en-US"/>
        </w:rPr>
        <w:lastRenderedPageBreak/>
        <w:t>P</w:t>
      </w:r>
      <w:r w:rsidR="001A752A" w:rsidRPr="00052DD1">
        <w:rPr>
          <w:rFonts w:cs="Times New Roman"/>
          <w:b/>
          <w:sz w:val="28"/>
          <w:szCs w:val="28"/>
          <w:u w:val="single"/>
          <w:lang w:val="es-ES" w:eastAsia="en-US"/>
        </w:rPr>
        <w:t>lan de Adquisiciones</w:t>
      </w:r>
    </w:p>
    <w:p w14:paraId="0763BE2B" w14:textId="4E81D8AC" w:rsidR="001A752A" w:rsidRDefault="001A752A" w:rsidP="001A752A">
      <w:pPr>
        <w:rPr>
          <w:lang w:val="es-ES" w:eastAsia="en-US"/>
        </w:rPr>
      </w:pPr>
      <w:r w:rsidRPr="00052DD1">
        <w:rPr>
          <w:u w:val="single"/>
          <w:lang w:val="es-ES" w:eastAsia="en-US"/>
        </w:rPr>
        <w:t>Proyecto</w:t>
      </w:r>
      <w:r w:rsidR="005B6EAE" w:rsidRPr="00052DD1">
        <w:rPr>
          <w:lang w:val="es-ES" w:eastAsia="en-US"/>
        </w:rPr>
        <w:t xml:space="preserve">: </w:t>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005B6EAE" w:rsidRPr="00052DD1">
        <w:rPr>
          <w:lang w:val="es-ES" w:eastAsia="en-US"/>
        </w:rPr>
        <w:tab/>
      </w:r>
      <w:r w:rsidRPr="00052DD1">
        <w:rPr>
          <w:u w:val="single"/>
          <w:lang w:val="es-ES" w:eastAsia="en-US"/>
        </w:rPr>
        <w:t>Versión</w:t>
      </w:r>
      <w:r w:rsidR="005F6071">
        <w:rPr>
          <w:rStyle w:val="Appelnotedebasdep"/>
          <w:u w:val="single"/>
          <w:lang w:val="es-ES" w:eastAsia="en-US"/>
        </w:rPr>
        <w:footnoteReference w:id="3"/>
      </w:r>
      <w:r w:rsidR="005B6EAE" w:rsidRPr="00052DD1">
        <w:rPr>
          <w:lang w:val="es-ES" w:eastAsia="en-US"/>
        </w:rPr>
        <w:t>:</w:t>
      </w:r>
    </w:p>
    <w:p w14:paraId="35C13290" w14:textId="77777777" w:rsidR="00655606" w:rsidRPr="00EF786B" w:rsidRDefault="00655606" w:rsidP="001A752A">
      <w:pPr>
        <w:rPr>
          <w:sz w:val="20"/>
          <w:lang w:val="es-ES" w:eastAsia="en-US"/>
        </w:rPr>
      </w:pPr>
    </w:p>
    <w:tbl>
      <w:tblPr>
        <w:tblW w:w="15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1489"/>
        <w:gridCol w:w="992"/>
        <w:gridCol w:w="992"/>
        <w:gridCol w:w="1276"/>
        <w:gridCol w:w="1417"/>
        <w:gridCol w:w="1131"/>
        <w:gridCol w:w="990"/>
        <w:gridCol w:w="1125"/>
        <w:gridCol w:w="1260"/>
        <w:gridCol w:w="1260"/>
        <w:gridCol w:w="1121"/>
      </w:tblGrid>
      <w:tr w:rsidR="00E40E4C" w:rsidRPr="00B16DC4" w14:paraId="15CB7440" w14:textId="77777777" w:rsidTr="00E40E4C">
        <w:trPr>
          <w:trHeight w:val="606"/>
          <w:jc w:val="center"/>
        </w:trPr>
        <w:tc>
          <w:tcPr>
            <w:tcW w:w="2315" w:type="dxa"/>
            <w:shd w:val="clear" w:color="auto" w:fill="auto"/>
            <w:vAlign w:val="center"/>
          </w:tcPr>
          <w:p w14:paraId="2F49EA12" w14:textId="3399AED6" w:rsidR="00E40E4C" w:rsidRPr="00052DD1" w:rsidRDefault="00E40E4C" w:rsidP="002E3A88">
            <w:pPr>
              <w:jc w:val="center"/>
              <w:rPr>
                <w:b/>
                <w:bCs/>
                <w:sz w:val="20"/>
                <w:szCs w:val="20"/>
                <w:u w:val="single"/>
                <w:lang w:val="es-ES"/>
              </w:rPr>
            </w:pPr>
            <w:r w:rsidRPr="00052DD1">
              <w:rPr>
                <w:b/>
                <w:bCs/>
                <w:sz w:val="20"/>
                <w:szCs w:val="20"/>
                <w:u w:val="single"/>
                <w:lang w:val="es-ES"/>
              </w:rPr>
              <w:t>Nombre del Contrato</w:t>
            </w:r>
            <w:r>
              <w:rPr>
                <w:rStyle w:val="Appelnotedebasdep"/>
                <w:b/>
                <w:bCs/>
                <w:szCs w:val="20"/>
                <w:u w:val="single"/>
                <w:lang w:val="es-ES"/>
              </w:rPr>
              <w:footnoteReference w:id="4"/>
            </w:r>
          </w:p>
        </w:tc>
        <w:tc>
          <w:tcPr>
            <w:tcW w:w="1489" w:type="dxa"/>
            <w:vAlign w:val="center"/>
          </w:tcPr>
          <w:p w14:paraId="41A58576" w14:textId="03A91312" w:rsidR="00E40E4C" w:rsidRPr="00052DD1" w:rsidRDefault="00E40E4C" w:rsidP="00E40E4C">
            <w:pPr>
              <w:jc w:val="center"/>
              <w:rPr>
                <w:b/>
                <w:bCs/>
                <w:sz w:val="20"/>
                <w:szCs w:val="20"/>
                <w:u w:val="single"/>
                <w:lang w:val="es-ES"/>
              </w:rPr>
            </w:pPr>
            <w:r w:rsidRPr="00052DD1">
              <w:rPr>
                <w:b/>
                <w:bCs/>
                <w:sz w:val="20"/>
                <w:szCs w:val="20"/>
                <w:u w:val="single"/>
                <w:lang w:val="es-ES"/>
              </w:rPr>
              <w:t xml:space="preserve">Monto </w:t>
            </w:r>
            <w:r w:rsidRPr="00052DD1">
              <w:rPr>
                <w:b/>
                <w:bCs/>
                <w:sz w:val="20"/>
                <w:szCs w:val="20"/>
                <w:u w:val="single"/>
                <w:lang w:val="es-ES"/>
              </w:rPr>
              <w:br/>
            </w:r>
            <w:r>
              <w:rPr>
                <w:b/>
                <w:bCs/>
                <w:sz w:val="20"/>
                <w:szCs w:val="20"/>
                <w:u w:val="single"/>
                <w:lang w:val="es-ES"/>
              </w:rPr>
              <w:t>e</w:t>
            </w:r>
            <w:r w:rsidRPr="00052DD1">
              <w:rPr>
                <w:b/>
                <w:bCs/>
                <w:sz w:val="20"/>
                <w:szCs w:val="20"/>
                <w:u w:val="single"/>
                <w:lang w:val="es-ES"/>
              </w:rPr>
              <w:t>stimado y moneda del Contrato (</w:t>
            </w:r>
            <w:r>
              <w:rPr>
                <w:b/>
                <w:bCs/>
                <w:sz w:val="20"/>
                <w:szCs w:val="20"/>
                <w:u w:val="single"/>
                <w:lang w:val="es-ES"/>
              </w:rPr>
              <w:t xml:space="preserve">sin </w:t>
            </w:r>
            <w:r w:rsidRPr="00052DD1">
              <w:rPr>
                <w:b/>
                <w:bCs/>
                <w:sz w:val="20"/>
                <w:szCs w:val="20"/>
                <w:u w:val="single"/>
                <w:lang w:val="es-ES"/>
              </w:rPr>
              <w:t xml:space="preserve">impuestos </w:t>
            </w:r>
            <w:r>
              <w:rPr>
                <w:b/>
                <w:bCs/>
                <w:sz w:val="20"/>
                <w:szCs w:val="20"/>
                <w:u w:val="single"/>
                <w:lang w:val="es-ES"/>
              </w:rPr>
              <w:t>locales aplicables</w:t>
            </w:r>
            <w:r w:rsidRPr="00052DD1">
              <w:rPr>
                <w:b/>
                <w:bCs/>
                <w:sz w:val="20"/>
                <w:szCs w:val="20"/>
                <w:u w:val="single"/>
                <w:lang w:val="es-ES"/>
              </w:rPr>
              <w:t>)</w:t>
            </w:r>
          </w:p>
        </w:tc>
        <w:tc>
          <w:tcPr>
            <w:tcW w:w="992" w:type="dxa"/>
          </w:tcPr>
          <w:p w14:paraId="7002CF4E" w14:textId="06B05ACA" w:rsidR="00E40E4C" w:rsidRPr="00052DD1" w:rsidRDefault="00E40E4C" w:rsidP="00E40E4C">
            <w:pPr>
              <w:ind w:left="-85" w:right="-108"/>
              <w:jc w:val="center"/>
              <w:rPr>
                <w:b/>
                <w:bCs/>
                <w:sz w:val="20"/>
                <w:szCs w:val="20"/>
                <w:u w:val="single"/>
                <w:lang w:val="es-ES"/>
              </w:rPr>
            </w:pPr>
            <w:r w:rsidRPr="00052DD1">
              <w:rPr>
                <w:b/>
                <w:bCs/>
                <w:sz w:val="20"/>
                <w:szCs w:val="20"/>
                <w:u w:val="single"/>
                <w:lang w:val="es-ES"/>
              </w:rPr>
              <w:t xml:space="preserve">Monto </w:t>
            </w:r>
            <w:r w:rsidRPr="00052DD1">
              <w:rPr>
                <w:b/>
                <w:bCs/>
                <w:sz w:val="20"/>
                <w:szCs w:val="20"/>
                <w:u w:val="single"/>
                <w:lang w:val="es-ES"/>
              </w:rPr>
              <w:br/>
            </w:r>
            <w:r>
              <w:rPr>
                <w:b/>
                <w:bCs/>
                <w:sz w:val="20"/>
                <w:szCs w:val="20"/>
                <w:u w:val="single"/>
                <w:lang w:val="es-ES"/>
              </w:rPr>
              <w:t>e</w:t>
            </w:r>
            <w:r w:rsidRPr="00052DD1">
              <w:rPr>
                <w:b/>
                <w:bCs/>
                <w:sz w:val="20"/>
                <w:szCs w:val="20"/>
                <w:u w:val="single"/>
                <w:lang w:val="es-ES"/>
              </w:rPr>
              <w:t xml:space="preserve">stimado y moneda </w:t>
            </w:r>
            <w:r>
              <w:rPr>
                <w:b/>
                <w:bCs/>
                <w:sz w:val="20"/>
                <w:szCs w:val="20"/>
                <w:u w:val="single"/>
                <w:lang w:val="es-ES"/>
              </w:rPr>
              <w:t xml:space="preserve">de los </w:t>
            </w:r>
            <w:r w:rsidRPr="00052DD1">
              <w:rPr>
                <w:b/>
                <w:bCs/>
                <w:sz w:val="20"/>
                <w:szCs w:val="20"/>
                <w:u w:val="single"/>
                <w:lang w:val="es-ES"/>
              </w:rPr>
              <w:t xml:space="preserve">impuestos </w:t>
            </w:r>
            <w:r>
              <w:rPr>
                <w:b/>
                <w:bCs/>
                <w:sz w:val="20"/>
                <w:szCs w:val="20"/>
                <w:u w:val="single"/>
                <w:lang w:val="es-ES"/>
              </w:rPr>
              <w:t>locales aplicables</w:t>
            </w:r>
          </w:p>
        </w:tc>
        <w:tc>
          <w:tcPr>
            <w:tcW w:w="992" w:type="dxa"/>
            <w:vAlign w:val="center"/>
          </w:tcPr>
          <w:p w14:paraId="05FDE04E" w14:textId="359D5641" w:rsidR="00E40E4C" w:rsidRPr="00052DD1" w:rsidRDefault="00E40E4C" w:rsidP="005F6071">
            <w:pPr>
              <w:ind w:left="-85" w:right="-108"/>
              <w:jc w:val="center"/>
              <w:rPr>
                <w:b/>
                <w:bCs/>
                <w:sz w:val="20"/>
                <w:szCs w:val="20"/>
                <w:u w:val="single"/>
                <w:lang w:val="es-ES"/>
              </w:rPr>
            </w:pPr>
            <w:r w:rsidRPr="00052DD1">
              <w:rPr>
                <w:b/>
                <w:bCs/>
                <w:sz w:val="20"/>
                <w:szCs w:val="20"/>
                <w:u w:val="single"/>
                <w:lang w:val="es-ES"/>
              </w:rPr>
              <w:t>Tipo de contrato</w:t>
            </w:r>
            <w:r>
              <w:rPr>
                <w:rStyle w:val="Appelnotedebasdep"/>
                <w:b/>
                <w:bCs/>
                <w:szCs w:val="20"/>
                <w:u w:val="single"/>
                <w:lang w:val="es-ES"/>
              </w:rPr>
              <w:footnoteReference w:id="5"/>
            </w:r>
          </w:p>
        </w:tc>
        <w:tc>
          <w:tcPr>
            <w:tcW w:w="1276" w:type="dxa"/>
            <w:vAlign w:val="center"/>
          </w:tcPr>
          <w:p w14:paraId="7792BB0B" w14:textId="19315CE3" w:rsidR="00E40E4C" w:rsidRPr="00052DD1" w:rsidRDefault="00E40E4C" w:rsidP="00E40E4C">
            <w:pPr>
              <w:ind w:left="-85" w:right="-75"/>
              <w:jc w:val="center"/>
              <w:rPr>
                <w:b/>
                <w:bCs/>
                <w:sz w:val="20"/>
                <w:szCs w:val="20"/>
                <w:u w:val="single"/>
                <w:lang w:val="es-ES"/>
              </w:rPr>
            </w:pPr>
            <w:r w:rsidRPr="00052DD1">
              <w:rPr>
                <w:b/>
                <w:bCs/>
                <w:sz w:val="20"/>
                <w:szCs w:val="20"/>
                <w:u w:val="single"/>
                <w:lang w:val="es-ES"/>
              </w:rPr>
              <w:t xml:space="preserve">Tipo de </w:t>
            </w:r>
            <w:r>
              <w:rPr>
                <w:b/>
                <w:bCs/>
                <w:sz w:val="20"/>
                <w:szCs w:val="20"/>
                <w:u w:val="single"/>
                <w:lang w:val="es-ES"/>
              </w:rPr>
              <w:t xml:space="preserve"> publicación</w:t>
            </w:r>
            <w:r>
              <w:rPr>
                <w:rStyle w:val="Appelnotedebasdep"/>
                <w:b/>
                <w:bCs/>
                <w:szCs w:val="20"/>
                <w:u w:val="single"/>
                <w:lang w:val="es-ES"/>
              </w:rPr>
              <w:footnoteReference w:id="6"/>
            </w:r>
          </w:p>
        </w:tc>
        <w:tc>
          <w:tcPr>
            <w:tcW w:w="1417" w:type="dxa"/>
            <w:shd w:val="clear" w:color="auto" w:fill="auto"/>
            <w:vAlign w:val="center"/>
          </w:tcPr>
          <w:p w14:paraId="531E835D" w14:textId="15C522E5" w:rsidR="00E40E4C" w:rsidRPr="00052DD1" w:rsidRDefault="00E40E4C" w:rsidP="00E40E4C">
            <w:pPr>
              <w:ind w:left="-85" w:right="-75"/>
              <w:jc w:val="center"/>
              <w:rPr>
                <w:b/>
                <w:bCs/>
                <w:lang w:val="es-ES"/>
              </w:rPr>
            </w:pPr>
            <w:r>
              <w:rPr>
                <w:b/>
                <w:bCs/>
                <w:sz w:val="20"/>
                <w:szCs w:val="20"/>
                <w:u w:val="single"/>
                <w:lang w:val="es-ES"/>
              </w:rPr>
              <w:t>Tipo de p</w:t>
            </w:r>
            <w:r w:rsidRPr="00052DD1">
              <w:rPr>
                <w:b/>
                <w:bCs/>
                <w:sz w:val="20"/>
                <w:szCs w:val="20"/>
                <w:u w:val="single"/>
                <w:lang w:val="es-ES"/>
              </w:rPr>
              <w:t>rocedimiento de adquisición</w:t>
            </w:r>
            <w:r>
              <w:rPr>
                <w:rStyle w:val="Appelnotedebasdep"/>
                <w:b/>
                <w:bCs/>
                <w:szCs w:val="20"/>
                <w:u w:val="single"/>
                <w:lang w:val="es-ES"/>
              </w:rPr>
              <w:footnoteReference w:id="7"/>
            </w:r>
          </w:p>
        </w:tc>
        <w:tc>
          <w:tcPr>
            <w:tcW w:w="1131" w:type="dxa"/>
            <w:vAlign w:val="center"/>
          </w:tcPr>
          <w:p w14:paraId="54A2760D" w14:textId="5B3FC181" w:rsidR="00E40E4C" w:rsidRPr="00052DD1" w:rsidRDefault="00E40E4C" w:rsidP="005F6071">
            <w:pPr>
              <w:ind w:left="-142" w:right="-108"/>
              <w:jc w:val="center"/>
              <w:rPr>
                <w:lang w:val="es-ES"/>
              </w:rPr>
            </w:pPr>
            <w:r w:rsidRPr="00052DD1">
              <w:rPr>
                <w:b/>
                <w:bCs/>
                <w:sz w:val="20"/>
                <w:szCs w:val="20"/>
                <w:u w:val="single"/>
                <w:lang w:val="es-ES"/>
              </w:rPr>
              <w:t>Método de selección</w:t>
            </w:r>
            <w:r>
              <w:rPr>
                <w:rStyle w:val="Appelnotedebasdep"/>
                <w:b/>
                <w:bCs/>
                <w:szCs w:val="20"/>
                <w:u w:val="single"/>
                <w:lang w:val="es-ES"/>
              </w:rPr>
              <w:footnoteReference w:id="8"/>
            </w:r>
          </w:p>
        </w:tc>
        <w:tc>
          <w:tcPr>
            <w:tcW w:w="990" w:type="dxa"/>
            <w:vAlign w:val="center"/>
          </w:tcPr>
          <w:p w14:paraId="7797C6CE" w14:textId="7BC4F326" w:rsidR="00E40E4C" w:rsidRPr="00052DD1" w:rsidRDefault="00E40E4C" w:rsidP="005F6071">
            <w:pPr>
              <w:ind w:left="-142" w:right="-108"/>
              <w:jc w:val="center"/>
              <w:rPr>
                <w:b/>
                <w:bCs/>
                <w:i/>
                <w:sz w:val="20"/>
                <w:szCs w:val="20"/>
                <w:u w:val="single"/>
                <w:lang w:val="es-ES"/>
              </w:rPr>
            </w:pPr>
            <w:r w:rsidRPr="00052DD1">
              <w:rPr>
                <w:b/>
                <w:bCs/>
                <w:sz w:val="20"/>
                <w:szCs w:val="20"/>
                <w:u w:val="single"/>
                <w:lang w:val="es-ES"/>
              </w:rPr>
              <w:t>Revisión de la AFD</w:t>
            </w:r>
            <w:r>
              <w:rPr>
                <w:rStyle w:val="Appelnotedebasdep"/>
                <w:b/>
                <w:bCs/>
                <w:szCs w:val="20"/>
                <w:u w:val="single"/>
                <w:lang w:val="es-ES"/>
              </w:rPr>
              <w:footnoteReference w:id="9"/>
            </w:r>
          </w:p>
        </w:tc>
        <w:tc>
          <w:tcPr>
            <w:tcW w:w="1125" w:type="dxa"/>
            <w:vAlign w:val="center"/>
          </w:tcPr>
          <w:p w14:paraId="14B2D73B" w14:textId="0C4D341E" w:rsidR="00E40E4C" w:rsidRPr="00052DD1" w:rsidRDefault="00E40E4C" w:rsidP="002E3A88">
            <w:pPr>
              <w:ind w:left="-142" w:right="-108"/>
              <w:jc w:val="center"/>
              <w:rPr>
                <w:b/>
                <w:bCs/>
                <w:sz w:val="20"/>
                <w:szCs w:val="20"/>
                <w:u w:val="single"/>
                <w:lang w:val="es-ES"/>
              </w:rPr>
            </w:pPr>
            <w:r w:rsidRPr="00052DD1">
              <w:rPr>
                <w:b/>
                <w:bCs/>
                <w:sz w:val="20"/>
                <w:szCs w:val="20"/>
                <w:u w:val="single"/>
                <w:lang w:val="es-ES"/>
              </w:rPr>
              <w:t>Fecha estimada de publicación del aviso especifico de adquisiciones</w:t>
            </w:r>
          </w:p>
        </w:tc>
        <w:tc>
          <w:tcPr>
            <w:tcW w:w="1260" w:type="dxa"/>
            <w:vAlign w:val="center"/>
          </w:tcPr>
          <w:p w14:paraId="2BF7B8CB" w14:textId="0FD5D8AD" w:rsidR="00E40E4C" w:rsidRPr="00052DD1" w:rsidRDefault="00E40E4C" w:rsidP="00945A5A">
            <w:pPr>
              <w:ind w:left="-108" w:right="-74"/>
              <w:jc w:val="center"/>
              <w:rPr>
                <w:b/>
                <w:bCs/>
                <w:sz w:val="20"/>
                <w:szCs w:val="20"/>
                <w:u w:val="single"/>
                <w:lang w:val="es-ES"/>
              </w:rPr>
            </w:pPr>
            <w:r w:rsidRPr="00052DD1">
              <w:rPr>
                <w:b/>
                <w:bCs/>
                <w:sz w:val="20"/>
                <w:szCs w:val="20"/>
                <w:u w:val="single"/>
                <w:lang w:val="es-ES"/>
              </w:rPr>
              <w:t>Fecha estimada de apertura de ofertas o propuestas</w:t>
            </w:r>
            <w:r>
              <w:rPr>
                <w:b/>
                <w:bCs/>
                <w:sz w:val="20"/>
                <w:szCs w:val="20"/>
                <w:u w:val="single"/>
                <w:lang w:val="es-ES"/>
              </w:rPr>
              <w:t xml:space="preserve"> o cotizaciones</w:t>
            </w:r>
          </w:p>
        </w:tc>
        <w:tc>
          <w:tcPr>
            <w:tcW w:w="1260" w:type="dxa"/>
            <w:vAlign w:val="center"/>
          </w:tcPr>
          <w:p w14:paraId="59790CBA" w14:textId="2AA35854" w:rsidR="00E40E4C" w:rsidRPr="00052DD1" w:rsidRDefault="00E40E4C" w:rsidP="00945A5A">
            <w:pPr>
              <w:ind w:left="-142" w:right="-74"/>
              <w:jc w:val="center"/>
              <w:rPr>
                <w:b/>
                <w:bCs/>
                <w:sz w:val="20"/>
                <w:szCs w:val="20"/>
                <w:u w:val="single"/>
                <w:lang w:val="es-ES"/>
              </w:rPr>
            </w:pPr>
            <w:r w:rsidRPr="00052DD1">
              <w:rPr>
                <w:b/>
                <w:bCs/>
                <w:sz w:val="20"/>
                <w:szCs w:val="20"/>
                <w:u w:val="single"/>
                <w:lang w:val="es-ES"/>
              </w:rPr>
              <w:t xml:space="preserve">Fecha estimada de firma del </w:t>
            </w:r>
            <w:r>
              <w:rPr>
                <w:b/>
                <w:bCs/>
                <w:sz w:val="20"/>
                <w:szCs w:val="20"/>
                <w:u w:val="single"/>
                <w:lang w:val="es-ES"/>
              </w:rPr>
              <w:t>C</w:t>
            </w:r>
            <w:r w:rsidRPr="00052DD1">
              <w:rPr>
                <w:b/>
                <w:bCs/>
                <w:sz w:val="20"/>
                <w:szCs w:val="20"/>
                <w:u w:val="single"/>
                <w:lang w:val="es-ES"/>
              </w:rPr>
              <w:t>ontrato</w:t>
            </w:r>
          </w:p>
        </w:tc>
        <w:tc>
          <w:tcPr>
            <w:tcW w:w="1121" w:type="dxa"/>
            <w:vAlign w:val="center"/>
          </w:tcPr>
          <w:p w14:paraId="13EA1244" w14:textId="5780511B" w:rsidR="00E40E4C" w:rsidRPr="00052DD1" w:rsidRDefault="00E40E4C" w:rsidP="00945A5A">
            <w:pPr>
              <w:ind w:left="-142" w:right="-74"/>
              <w:jc w:val="center"/>
              <w:rPr>
                <w:b/>
                <w:bCs/>
                <w:sz w:val="20"/>
                <w:szCs w:val="20"/>
                <w:u w:val="single"/>
                <w:lang w:val="es-ES"/>
              </w:rPr>
            </w:pPr>
            <w:r w:rsidRPr="00052DD1">
              <w:rPr>
                <w:b/>
                <w:bCs/>
                <w:sz w:val="20"/>
                <w:szCs w:val="20"/>
                <w:u w:val="single"/>
                <w:lang w:val="es-ES"/>
              </w:rPr>
              <w:t xml:space="preserve">Fecha estimada de término del </w:t>
            </w:r>
            <w:r>
              <w:rPr>
                <w:b/>
                <w:bCs/>
                <w:sz w:val="20"/>
                <w:szCs w:val="20"/>
                <w:u w:val="single"/>
                <w:lang w:val="es-ES"/>
              </w:rPr>
              <w:t>C</w:t>
            </w:r>
            <w:r w:rsidRPr="00052DD1">
              <w:rPr>
                <w:b/>
                <w:bCs/>
                <w:sz w:val="20"/>
                <w:szCs w:val="20"/>
                <w:u w:val="single"/>
                <w:lang w:val="es-ES"/>
              </w:rPr>
              <w:t>ontrato</w:t>
            </w:r>
          </w:p>
        </w:tc>
      </w:tr>
      <w:tr w:rsidR="00E40E4C" w:rsidRPr="00B16DC4" w14:paraId="68502AD2" w14:textId="77777777" w:rsidTr="00E40E4C">
        <w:trPr>
          <w:trHeight w:hRule="exact" w:val="420"/>
          <w:jc w:val="center"/>
        </w:trPr>
        <w:tc>
          <w:tcPr>
            <w:tcW w:w="2315" w:type="dxa"/>
            <w:shd w:val="clear" w:color="auto" w:fill="auto"/>
            <w:vAlign w:val="center"/>
          </w:tcPr>
          <w:p w14:paraId="393781E8" w14:textId="77777777" w:rsidR="00E40E4C" w:rsidRPr="00052DD1" w:rsidRDefault="00E40E4C" w:rsidP="002E3A88">
            <w:pPr>
              <w:rPr>
                <w:rFonts w:cs="Times New Roman"/>
                <w:i/>
                <w:iCs/>
                <w:sz w:val="20"/>
                <w:szCs w:val="20"/>
                <w:u w:val="single"/>
                <w:lang w:val="es-ES"/>
              </w:rPr>
            </w:pPr>
          </w:p>
        </w:tc>
        <w:tc>
          <w:tcPr>
            <w:tcW w:w="1489" w:type="dxa"/>
            <w:vAlign w:val="center"/>
          </w:tcPr>
          <w:p w14:paraId="217F8623" w14:textId="77777777" w:rsidR="00E40E4C" w:rsidRPr="00052DD1" w:rsidRDefault="00E40E4C" w:rsidP="002E3A88">
            <w:pPr>
              <w:jc w:val="right"/>
              <w:rPr>
                <w:rFonts w:cs="Times New Roman"/>
                <w:i/>
                <w:iCs/>
                <w:sz w:val="20"/>
                <w:szCs w:val="20"/>
                <w:u w:val="single"/>
                <w:lang w:val="es-ES"/>
              </w:rPr>
            </w:pPr>
          </w:p>
        </w:tc>
        <w:tc>
          <w:tcPr>
            <w:tcW w:w="992" w:type="dxa"/>
          </w:tcPr>
          <w:p w14:paraId="12A2DDEC" w14:textId="77777777" w:rsidR="00E40E4C" w:rsidRPr="00052DD1" w:rsidRDefault="00E40E4C" w:rsidP="002E3A88">
            <w:pPr>
              <w:jc w:val="center"/>
              <w:rPr>
                <w:rFonts w:cs="Times New Roman"/>
                <w:i/>
                <w:iCs/>
                <w:sz w:val="20"/>
                <w:szCs w:val="20"/>
                <w:u w:val="single"/>
                <w:lang w:val="es-ES"/>
              </w:rPr>
            </w:pPr>
          </w:p>
        </w:tc>
        <w:tc>
          <w:tcPr>
            <w:tcW w:w="992" w:type="dxa"/>
            <w:vAlign w:val="center"/>
          </w:tcPr>
          <w:p w14:paraId="3449B2EC" w14:textId="36D7DF6B" w:rsidR="00E40E4C" w:rsidRPr="00052DD1" w:rsidRDefault="00E40E4C" w:rsidP="002E3A88">
            <w:pPr>
              <w:jc w:val="center"/>
              <w:rPr>
                <w:rFonts w:cs="Times New Roman"/>
                <w:i/>
                <w:iCs/>
                <w:sz w:val="20"/>
                <w:szCs w:val="20"/>
                <w:u w:val="single"/>
                <w:lang w:val="es-ES"/>
              </w:rPr>
            </w:pPr>
          </w:p>
        </w:tc>
        <w:tc>
          <w:tcPr>
            <w:tcW w:w="1276" w:type="dxa"/>
          </w:tcPr>
          <w:p w14:paraId="0A61E925" w14:textId="77777777" w:rsidR="00E40E4C" w:rsidRPr="00052DD1" w:rsidRDefault="00E40E4C" w:rsidP="002E3A88">
            <w:pPr>
              <w:jc w:val="center"/>
              <w:rPr>
                <w:rFonts w:cs="Times New Roman"/>
                <w:i/>
                <w:iCs/>
                <w:sz w:val="20"/>
                <w:szCs w:val="20"/>
                <w:u w:val="single"/>
                <w:lang w:val="es-ES"/>
              </w:rPr>
            </w:pPr>
          </w:p>
        </w:tc>
        <w:tc>
          <w:tcPr>
            <w:tcW w:w="1417" w:type="dxa"/>
            <w:shd w:val="clear" w:color="auto" w:fill="auto"/>
            <w:vAlign w:val="center"/>
          </w:tcPr>
          <w:p w14:paraId="6939E903" w14:textId="77777777" w:rsidR="00E40E4C" w:rsidRPr="00052DD1" w:rsidRDefault="00E40E4C" w:rsidP="002E3A88">
            <w:pPr>
              <w:jc w:val="center"/>
              <w:rPr>
                <w:rFonts w:cs="Times New Roman"/>
                <w:i/>
                <w:iCs/>
                <w:sz w:val="20"/>
                <w:szCs w:val="20"/>
                <w:u w:val="single"/>
                <w:lang w:val="es-ES"/>
              </w:rPr>
            </w:pPr>
          </w:p>
        </w:tc>
        <w:tc>
          <w:tcPr>
            <w:tcW w:w="1131" w:type="dxa"/>
            <w:vAlign w:val="center"/>
          </w:tcPr>
          <w:p w14:paraId="6DACF73F" w14:textId="77777777" w:rsidR="00E40E4C" w:rsidRPr="00052DD1" w:rsidRDefault="00E40E4C" w:rsidP="002E3A88">
            <w:pPr>
              <w:jc w:val="center"/>
              <w:rPr>
                <w:rFonts w:cs="Times New Roman"/>
                <w:i/>
                <w:iCs/>
                <w:sz w:val="20"/>
                <w:szCs w:val="20"/>
                <w:u w:val="single"/>
                <w:lang w:val="es-ES"/>
              </w:rPr>
            </w:pPr>
          </w:p>
        </w:tc>
        <w:tc>
          <w:tcPr>
            <w:tcW w:w="990" w:type="dxa"/>
            <w:vAlign w:val="center"/>
          </w:tcPr>
          <w:p w14:paraId="1F961FF4" w14:textId="46D86808" w:rsidR="00E40E4C" w:rsidRPr="00DC0465" w:rsidRDefault="00E40E4C" w:rsidP="00052DD1">
            <w:pPr>
              <w:jc w:val="center"/>
              <w:rPr>
                <w:lang w:val="es-ES"/>
              </w:rPr>
            </w:pPr>
          </w:p>
        </w:tc>
        <w:tc>
          <w:tcPr>
            <w:tcW w:w="1125" w:type="dxa"/>
            <w:vAlign w:val="center"/>
          </w:tcPr>
          <w:p w14:paraId="5D54950D"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10E70385"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097EB918" w14:textId="77777777" w:rsidR="00E40E4C" w:rsidRPr="00052DD1" w:rsidRDefault="00E40E4C" w:rsidP="002E3A88">
            <w:pPr>
              <w:jc w:val="center"/>
              <w:rPr>
                <w:rFonts w:cs="Times New Roman"/>
                <w:i/>
                <w:iCs/>
                <w:sz w:val="20"/>
                <w:szCs w:val="20"/>
                <w:u w:val="single"/>
                <w:lang w:val="es-ES"/>
              </w:rPr>
            </w:pPr>
          </w:p>
        </w:tc>
        <w:tc>
          <w:tcPr>
            <w:tcW w:w="1121" w:type="dxa"/>
            <w:vAlign w:val="center"/>
          </w:tcPr>
          <w:p w14:paraId="5D8F94E6" w14:textId="77777777" w:rsidR="00E40E4C" w:rsidRPr="00052DD1" w:rsidRDefault="00E40E4C" w:rsidP="002E3A88">
            <w:pPr>
              <w:jc w:val="center"/>
              <w:rPr>
                <w:rFonts w:cs="Times New Roman"/>
                <w:i/>
                <w:iCs/>
                <w:sz w:val="20"/>
                <w:szCs w:val="20"/>
                <w:u w:val="single"/>
                <w:lang w:val="es-ES"/>
              </w:rPr>
            </w:pPr>
          </w:p>
        </w:tc>
      </w:tr>
      <w:tr w:rsidR="00E40E4C" w:rsidRPr="00B16DC4" w14:paraId="4AD61840" w14:textId="77777777" w:rsidTr="00E40E4C">
        <w:trPr>
          <w:trHeight w:hRule="exact" w:val="420"/>
          <w:jc w:val="center"/>
        </w:trPr>
        <w:tc>
          <w:tcPr>
            <w:tcW w:w="2315" w:type="dxa"/>
            <w:shd w:val="clear" w:color="auto" w:fill="auto"/>
            <w:vAlign w:val="center"/>
          </w:tcPr>
          <w:p w14:paraId="6687B060" w14:textId="77777777" w:rsidR="00E40E4C" w:rsidRPr="00052DD1" w:rsidRDefault="00E40E4C" w:rsidP="002E3A88">
            <w:pPr>
              <w:rPr>
                <w:rFonts w:cs="Times New Roman"/>
                <w:i/>
                <w:iCs/>
                <w:sz w:val="20"/>
                <w:szCs w:val="20"/>
                <w:u w:val="single"/>
                <w:lang w:val="es-ES"/>
              </w:rPr>
            </w:pPr>
          </w:p>
        </w:tc>
        <w:tc>
          <w:tcPr>
            <w:tcW w:w="1489" w:type="dxa"/>
            <w:vAlign w:val="center"/>
          </w:tcPr>
          <w:p w14:paraId="7E8636E7" w14:textId="77777777" w:rsidR="00E40E4C" w:rsidRPr="00052DD1" w:rsidRDefault="00E40E4C" w:rsidP="002E3A88">
            <w:pPr>
              <w:jc w:val="right"/>
              <w:rPr>
                <w:rFonts w:cs="Times New Roman"/>
                <w:i/>
                <w:iCs/>
                <w:sz w:val="20"/>
                <w:szCs w:val="20"/>
                <w:u w:val="single"/>
                <w:lang w:val="es-ES"/>
              </w:rPr>
            </w:pPr>
          </w:p>
        </w:tc>
        <w:tc>
          <w:tcPr>
            <w:tcW w:w="992" w:type="dxa"/>
          </w:tcPr>
          <w:p w14:paraId="5F814224" w14:textId="77777777" w:rsidR="00E40E4C" w:rsidRPr="00052DD1" w:rsidRDefault="00E40E4C" w:rsidP="002E3A88">
            <w:pPr>
              <w:jc w:val="center"/>
              <w:rPr>
                <w:rFonts w:cs="Times New Roman"/>
                <w:i/>
                <w:iCs/>
                <w:sz w:val="20"/>
                <w:szCs w:val="20"/>
                <w:u w:val="single"/>
                <w:lang w:val="es-ES"/>
              </w:rPr>
            </w:pPr>
          </w:p>
        </w:tc>
        <w:tc>
          <w:tcPr>
            <w:tcW w:w="992" w:type="dxa"/>
            <w:vAlign w:val="center"/>
          </w:tcPr>
          <w:p w14:paraId="7DF52890" w14:textId="0D28563E" w:rsidR="00E40E4C" w:rsidRPr="00052DD1" w:rsidRDefault="00E40E4C" w:rsidP="002E3A88">
            <w:pPr>
              <w:jc w:val="center"/>
              <w:rPr>
                <w:rFonts w:cs="Times New Roman"/>
                <w:i/>
                <w:iCs/>
                <w:sz w:val="20"/>
                <w:szCs w:val="20"/>
                <w:u w:val="single"/>
                <w:lang w:val="es-ES"/>
              </w:rPr>
            </w:pPr>
          </w:p>
        </w:tc>
        <w:tc>
          <w:tcPr>
            <w:tcW w:w="1276" w:type="dxa"/>
          </w:tcPr>
          <w:p w14:paraId="412204D6" w14:textId="77777777" w:rsidR="00E40E4C" w:rsidRPr="00052DD1" w:rsidRDefault="00E40E4C" w:rsidP="002E3A88">
            <w:pPr>
              <w:jc w:val="center"/>
              <w:rPr>
                <w:rFonts w:cs="Times New Roman"/>
                <w:i/>
                <w:iCs/>
                <w:sz w:val="20"/>
                <w:szCs w:val="20"/>
                <w:u w:val="single"/>
                <w:lang w:val="es-ES"/>
              </w:rPr>
            </w:pPr>
          </w:p>
        </w:tc>
        <w:tc>
          <w:tcPr>
            <w:tcW w:w="1417" w:type="dxa"/>
            <w:shd w:val="clear" w:color="auto" w:fill="auto"/>
            <w:vAlign w:val="center"/>
          </w:tcPr>
          <w:p w14:paraId="51206E91" w14:textId="77777777" w:rsidR="00E40E4C" w:rsidRPr="00052DD1" w:rsidRDefault="00E40E4C" w:rsidP="002E3A88">
            <w:pPr>
              <w:jc w:val="center"/>
              <w:rPr>
                <w:rFonts w:cs="Times New Roman"/>
                <w:i/>
                <w:iCs/>
                <w:sz w:val="20"/>
                <w:szCs w:val="20"/>
                <w:u w:val="single"/>
                <w:lang w:val="es-ES"/>
              </w:rPr>
            </w:pPr>
          </w:p>
        </w:tc>
        <w:tc>
          <w:tcPr>
            <w:tcW w:w="1131" w:type="dxa"/>
            <w:vAlign w:val="center"/>
          </w:tcPr>
          <w:p w14:paraId="643E8EEF" w14:textId="77777777" w:rsidR="00E40E4C" w:rsidRPr="00052DD1" w:rsidRDefault="00E40E4C" w:rsidP="002E3A88">
            <w:pPr>
              <w:jc w:val="center"/>
              <w:rPr>
                <w:rFonts w:cs="Times New Roman"/>
                <w:i/>
                <w:iCs/>
                <w:sz w:val="20"/>
                <w:szCs w:val="20"/>
                <w:u w:val="single"/>
                <w:lang w:val="es-ES"/>
              </w:rPr>
            </w:pPr>
          </w:p>
        </w:tc>
        <w:tc>
          <w:tcPr>
            <w:tcW w:w="990" w:type="dxa"/>
            <w:vAlign w:val="center"/>
          </w:tcPr>
          <w:p w14:paraId="4EFE53FF" w14:textId="771BE7A0" w:rsidR="00E40E4C" w:rsidRPr="00DC0465" w:rsidRDefault="00E40E4C" w:rsidP="002E3A88">
            <w:pPr>
              <w:jc w:val="center"/>
              <w:rPr>
                <w:lang w:val="es-ES"/>
              </w:rPr>
            </w:pPr>
          </w:p>
        </w:tc>
        <w:tc>
          <w:tcPr>
            <w:tcW w:w="1125" w:type="dxa"/>
            <w:vAlign w:val="center"/>
          </w:tcPr>
          <w:p w14:paraId="0DE92A11"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44FF8C24"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1AB0233D" w14:textId="77777777" w:rsidR="00E40E4C" w:rsidRPr="00052DD1" w:rsidRDefault="00E40E4C" w:rsidP="002E3A88">
            <w:pPr>
              <w:jc w:val="center"/>
              <w:rPr>
                <w:rFonts w:cs="Times New Roman"/>
                <w:i/>
                <w:iCs/>
                <w:sz w:val="20"/>
                <w:szCs w:val="20"/>
                <w:u w:val="single"/>
                <w:lang w:val="es-ES"/>
              </w:rPr>
            </w:pPr>
          </w:p>
        </w:tc>
        <w:tc>
          <w:tcPr>
            <w:tcW w:w="1121" w:type="dxa"/>
            <w:vAlign w:val="center"/>
          </w:tcPr>
          <w:p w14:paraId="72448CAF" w14:textId="77777777" w:rsidR="00E40E4C" w:rsidRPr="00052DD1" w:rsidRDefault="00E40E4C" w:rsidP="002E3A88">
            <w:pPr>
              <w:jc w:val="center"/>
              <w:rPr>
                <w:rFonts w:cs="Times New Roman"/>
                <w:i/>
                <w:iCs/>
                <w:sz w:val="20"/>
                <w:szCs w:val="20"/>
                <w:u w:val="single"/>
                <w:lang w:val="es-ES"/>
              </w:rPr>
            </w:pPr>
          </w:p>
        </w:tc>
      </w:tr>
      <w:tr w:rsidR="00E40E4C" w:rsidRPr="00B16DC4" w14:paraId="7A840E19" w14:textId="77777777" w:rsidTr="00E40E4C">
        <w:trPr>
          <w:trHeight w:hRule="exact" w:val="420"/>
          <w:jc w:val="center"/>
        </w:trPr>
        <w:tc>
          <w:tcPr>
            <w:tcW w:w="2315" w:type="dxa"/>
            <w:shd w:val="clear" w:color="auto" w:fill="auto"/>
            <w:vAlign w:val="center"/>
          </w:tcPr>
          <w:p w14:paraId="126D20B3" w14:textId="77777777" w:rsidR="00E40E4C" w:rsidRPr="00052DD1" w:rsidRDefault="00E40E4C" w:rsidP="002E3A88">
            <w:pPr>
              <w:rPr>
                <w:rFonts w:cs="Times New Roman"/>
                <w:i/>
                <w:iCs/>
                <w:sz w:val="20"/>
                <w:szCs w:val="20"/>
                <w:u w:val="single"/>
                <w:lang w:val="es-ES"/>
              </w:rPr>
            </w:pPr>
          </w:p>
        </w:tc>
        <w:tc>
          <w:tcPr>
            <w:tcW w:w="1489" w:type="dxa"/>
            <w:vAlign w:val="center"/>
          </w:tcPr>
          <w:p w14:paraId="7F8C3782" w14:textId="77777777" w:rsidR="00E40E4C" w:rsidRPr="00052DD1" w:rsidRDefault="00E40E4C" w:rsidP="002E3A88">
            <w:pPr>
              <w:jc w:val="right"/>
              <w:rPr>
                <w:rFonts w:cs="Times New Roman"/>
                <w:i/>
                <w:iCs/>
                <w:sz w:val="20"/>
                <w:szCs w:val="20"/>
                <w:u w:val="single"/>
                <w:lang w:val="es-ES"/>
              </w:rPr>
            </w:pPr>
          </w:p>
        </w:tc>
        <w:tc>
          <w:tcPr>
            <w:tcW w:w="992" w:type="dxa"/>
          </w:tcPr>
          <w:p w14:paraId="522693E8" w14:textId="77777777" w:rsidR="00E40E4C" w:rsidRPr="00052DD1" w:rsidRDefault="00E40E4C" w:rsidP="002E3A88">
            <w:pPr>
              <w:jc w:val="center"/>
              <w:rPr>
                <w:rFonts w:cs="Times New Roman"/>
                <w:i/>
                <w:iCs/>
                <w:sz w:val="20"/>
                <w:szCs w:val="20"/>
                <w:u w:val="single"/>
                <w:lang w:val="es-ES"/>
              </w:rPr>
            </w:pPr>
          </w:p>
        </w:tc>
        <w:tc>
          <w:tcPr>
            <w:tcW w:w="992" w:type="dxa"/>
            <w:vAlign w:val="center"/>
          </w:tcPr>
          <w:p w14:paraId="413A772E" w14:textId="7CD35310" w:rsidR="00E40E4C" w:rsidRPr="00052DD1" w:rsidRDefault="00E40E4C" w:rsidP="002E3A88">
            <w:pPr>
              <w:jc w:val="center"/>
              <w:rPr>
                <w:rFonts w:cs="Times New Roman"/>
                <w:i/>
                <w:iCs/>
                <w:sz w:val="20"/>
                <w:szCs w:val="20"/>
                <w:u w:val="single"/>
                <w:lang w:val="es-ES"/>
              </w:rPr>
            </w:pPr>
          </w:p>
        </w:tc>
        <w:tc>
          <w:tcPr>
            <w:tcW w:w="1276" w:type="dxa"/>
          </w:tcPr>
          <w:p w14:paraId="7AFAEA69" w14:textId="77777777" w:rsidR="00E40E4C" w:rsidRPr="00052DD1" w:rsidRDefault="00E40E4C" w:rsidP="002E3A88">
            <w:pPr>
              <w:jc w:val="center"/>
              <w:rPr>
                <w:rFonts w:cs="Times New Roman"/>
                <w:i/>
                <w:iCs/>
                <w:sz w:val="20"/>
                <w:szCs w:val="20"/>
                <w:u w:val="single"/>
                <w:lang w:val="es-ES"/>
              </w:rPr>
            </w:pPr>
          </w:p>
        </w:tc>
        <w:tc>
          <w:tcPr>
            <w:tcW w:w="1417" w:type="dxa"/>
            <w:shd w:val="clear" w:color="auto" w:fill="auto"/>
            <w:vAlign w:val="center"/>
          </w:tcPr>
          <w:p w14:paraId="06FFC206" w14:textId="77777777" w:rsidR="00E40E4C" w:rsidRPr="00052DD1" w:rsidRDefault="00E40E4C" w:rsidP="002E3A88">
            <w:pPr>
              <w:jc w:val="center"/>
              <w:rPr>
                <w:rFonts w:cs="Times New Roman"/>
                <w:i/>
                <w:iCs/>
                <w:sz w:val="20"/>
                <w:szCs w:val="20"/>
                <w:u w:val="single"/>
                <w:lang w:val="es-ES"/>
              </w:rPr>
            </w:pPr>
          </w:p>
        </w:tc>
        <w:tc>
          <w:tcPr>
            <w:tcW w:w="1131" w:type="dxa"/>
            <w:vAlign w:val="center"/>
          </w:tcPr>
          <w:p w14:paraId="1CC307AB" w14:textId="77777777" w:rsidR="00E40E4C" w:rsidRPr="00052DD1" w:rsidRDefault="00E40E4C" w:rsidP="002E3A88">
            <w:pPr>
              <w:jc w:val="center"/>
              <w:rPr>
                <w:rFonts w:cs="Times New Roman"/>
                <w:i/>
                <w:iCs/>
                <w:sz w:val="20"/>
                <w:szCs w:val="20"/>
                <w:u w:val="single"/>
                <w:lang w:val="es-ES"/>
              </w:rPr>
            </w:pPr>
          </w:p>
        </w:tc>
        <w:tc>
          <w:tcPr>
            <w:tcW w:w="990" w:type="dxa"/>
            <w:vAlign w:val="center"/>
          </w:tcPr>
          <w:p w14:paraId="0109FA66" w14:textId="0491D479" w:rsidR="00E40E4C" w:rsidRPr="00DC0465" w:rsidRDefault="00E40E4C" w:rsidP="002E3A88">
            <w:pPr>
              <w:jc w:val="center"/>
              <w:rPr>
                <w:lang w:val="es-ES"/>
              </w:rPr>
            </w:pPr>
          </w:p>
        </w:tc>
        <w:tc>
          <w:tcPr>
            <w:tcW w:w="1125" w:type="dxa"/>
            <w:vAlign w:val="center"/>
          </w:tcPr>
          <w:p w14:paraId="76D7D545"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511DBD70"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7CF9635A" w14:textId="77777777" w:rsidR="00E40E4C" w:rsidRPr="00052DD1" w:rsidRDefault="00E40E4C" w:rsidP="002E3A88">
            <w:pPr>
              <w:jc w:val="center"/>
              <w:rPr>
                <w:rFonts w:cs="Times New Roman"/>
                <w:i/>
                <w:iCs/>
                <w:sz w:val="20"/>
                <w:szCs w:val="20"/>
                <w:u w:val="single"/>
                <w:lang w:val="es-ES"/>
              </w:rPr>
            </w:pPr>
          </w:p>
        </w:tc>
        <w:tc>
          <w:tcPr>
            <w:tcW w:w="1121" w:type="dxa"/>
            <w:vAlign w:val="center"/>
          </w:tcPr>
          <w:p w14:paraId="06656298" w14:textId="77777777" w:rsidR="00E40E4C" w:rsidRPr="00052DD1" w:rsidRDefault="00E40E4C" w:rsidP="002E3A88">
            <w:pPr>
              <w:jc w:val="center"/>
              <w:rPr>
                <w:rFonts w:cs="Times New Roman"/>
                <w:i/>
                <w:iCs/>
                <w:sz w:val="20"/>
                <w:szCs w:val="20"/>
                <w:u w:val="single"/>
                <w:lang w:val="es-ES"/>
              </w:rPr>
            </w:pPr>
          </w:p>
        </w:tc>
      </w:tr>
      <w:tr w:rsidR="00E40E4C" w:rsidRPr="00B16DC4" w14:paraId="5E08DEDE" w14:textId="77777777" w:rsidTr="00E40E4C">
        <w:trPr>
          <w:trHeight w:hRule="exact" w:val="420"/>
          <w:jc w:val="center"/>
        </w:trPr>
        <w:tc>
          <w:tcPr>
            <w:tcW w:w="2315" w:type="dxa"/>
            <w:shd w:val="clear" w:color="auto" w:fill="auto"/>
            <w:vAlign w:val="center"/>
          </w:tcPr>
          <w:p w14:paraId="371DCDB8" w14:textId="77777777" w:rsidR="00E40E4C" w:rsidRPr="00052DD1" w:rsidRDefault="00E40E4C" w:rsidP="002E3A88">
            <w:pPr>
              <w:rPr>
                <w:rFonts w:cs="Times New Roman"/>
                <w:i/>
                <w:iCs/>
                <w:sz w:val="20"/>
                <w:szCs w:val="20"/>
                <w:u w:val="single"/>
                <w:lang w:val="es-ES"/>
              </w:rPr>
            </w:pPr>
          </w:p>
        </w:tc>
        <w:tc>
          <w:tcPr>
            <w:tcW w:w="1489" w:type="dxa"/>
            <w:vAlign w:val="center"/>
          </w:tcPr>
          <w:p w14:paraId="0D69D068" w14:textId="77777777" w:rsidR="00E40E4C" w:rsidRPr="00052DD1" w:rsidRDefault="00E40E4C" w:rsidP="002E3A88">
            <w:pPr>
              <w:jc w:val="right"/>
              <w:rPr>
                <w:rFonts w:cs="Times New Roman"/>
                <w:i/>
                <w:iCs/>
                <w:sz w:val="20"/>
                <w:szCs w:val="20"/>
                <w:u w:val="single"/>
                <w:lang w:val="es-ES"/>
              </w:rPr>
            </w:pPr>
          </w:p>
        </w:tc>
        <w:tc>
          <w:tcPr>
            <w:tcW w:w="992" w:type="dxa"/>
          </w:tcPr>
          <w:p w14:paraId="378226D4" w14:textId="77777777" w:rsidR="00E40E4C" w:rsidRPr="00052DD1" w:rsidRDefault="00E40E4C" w:rsidP="002E3A88">
            <w:pPr>
              <w:jc w:val="center"/>
              <w:rPr>
                <w:rFonts w:cs="Times New Roman"/>
                <w:i/>
                <w:iCs/>
                <w:sz w:val="20"/>
                <w:szCs w:val="20"/>
                <w:u w:val="single"/>
                <w:lang w:val="es-ES"/>
              </w:rPr>
            </w:pPr>
          </w:p>
        </w:tc>
        <w:tc>
          <w:tcPr>
            <w:tcW w:w="992" w:type="dxa"/>
            <w:vAlign w:val="center"/>
          </w:tcPr>
          <w:p w14:paraId="2F6CE0FA" w14:textId="2D05184E" w:rsidR="00E40E4C" w:rsidRPr="00052DD1" w:rsidRDefault="00E40E4C" w:rsidP="002E3A88">
            <w:pPr>
              <w:jc w:val="center"/>
              <w:rPr>
                <w:rFonts w:cs="Times New Roman"/>
                <w:i/>
                <w:iCs/>
                <w:sz w:val="20"/>
                <w:szCs w:val="20"/>
                <w:u w:val="single"/>
                <w:lang w:val="es-ES"/>
              </w:rPr>
            </w:pPr>
          </w:p>
        </w:tc>
        <w:tc>
          <w:tcPr>
            <w:tcW w:w="1276" w:type="dxa"/>
          </w:tcPr>
          <w:p w14:paraId="7EFF9D53" w14:textId="77777777" w:rsidR="00E40E4C" w:rsidRPr="00052DD1" w:rsidRDefault="00E40E4C" w:rsidP="002E3A88">
            <w:pPr>
              <w:jc w:val="center"/>
              <w:rPr>
                <w:rFonts w:cs="Times New Roman"/>
                <w:i/>
                <w:iCs/>
                <w:sz w:val="20"/>
                <w:szCs w:val="20"/>
                <w:u w:val="single"/>
                <w:lang w:val="es-ES"/>
              </w:rPr>
            </w:pPr>
          </w:p>
        </w:tc>
        <w:tc>
          <w:tcPr>
            <w:tcW w:w="1417" w:type="dxa"/>
            <w:shd w:val="clear" w:color="auto" w:fill="auto"/>
            <w:vAlign w:val="center"/>
          </w:tcPr>
          <w:p w14:paraId="2F43766F" w14:textId="77777777" w:rsidR="00E40E4C" w:rsidRPr="00052DD1" w:rsidRDefault="00E40E4C" w:rsidP="002E3A88">
            <w:pPr>
              <w:jc w:val="center"/>
              <w:rPr>
                <w:rFonts w:cs="Times New Roman"/>
                <w:i/>
                <w:iCs/>
                <w:sz w:val="20"/>
                <w:szCs w:val="20"/>
                <w:u w:val="single"/>
                <w:lang w:val="es-ES"/>
              </w:rPr>
            </w:pPr>
          </w:p>
        </w:tc>
        <w:tc>
          <w:tcPr>
            <w:tcW w:w="1131" w:type="dxa"/>
            <w:vAlign w:val="center"/>
          </w:tcPr>
          <w:p w14:paraId="4A234EC6" w14:textId="77777777" w:rsidR="00E40E4C" w:rsidRPr="00052DD1" w:rsidRDefault="00E40E4C" w:rsidP="002E3A88">
            <w:pPr>
              <w:jc w:val="center"/>
              <w:rPr>
                <w:rFonts w:cs="Times New Roman"/>
                <w:i/>
                <w:iCs/>
                <w:sz w:val="20"/>
                <w:szCs w:val="20"/>
                <w:u w:val="single"/>
                <w:lang w:val="es-ES"/>
              </w:rPr>
            </w:pPr>
          </w:p>
        </w:tc>
        <w:tc>
          <w:tcPr>
            <w:tcW w:w="990" w:type="dxa"/>
            <w:vAlign w:val="center"/>
          </w:tcPr>
          <w:p w14:paraId="4791E296" w14:textId="6990D66F" w:rsidR="00E40E4C" w:rsidRPr="00DC0465" w:rsidRDefault="00E40E4C" w:rsidP="002E3A88">
            <w:pPr>
              <w:jc w:val="center"/>
              <w:rPr>
                <w:lang w:val="es-ES"/>
              </w:rPr>
            </w:pPr>
          </w:p>
        </w:tc>
        <w:tc>
          <w:tcPr>
            <w:tcW w:w="1125" w:type="dxa"/>
            <w:vAlign w:val="center"/>
          </w:tcPr>
          <w:p w14:paraId="42AE7A78"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3A9D2F9A"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3B37F0E6" w14:textId="77777777" w:rsidR="00E40E4C" w:rsidRPr="00052DD1" w:rsidRDefault="00E40E4C" w:rsidP="002E3A88">
            <w:pPr>
              <w:jc w:val="center"/>
              <w:rPr>
                <w:rFonts w:cs="Times New Roman"/>
                <w:i/>
                <w:iCs/>
                <w:sz w:val="20"/>
                <w:szCs w:val="20"/>
                <w:u w:val="single"/>
                <w:lang w:val="es-ES"/>
              </w:rPr>
            </w:pPr>
          </w:p>
        </w:tc>
        <w:tc>
          <w:tcPr>
            <w:tcW w:w="1121" w:type="dxa"/>
            <w:vAlign w:val="center"/>
          </w:tcPr>
          <w:p w14:paraId="6C218C1B" w14:textId="77777777" w:rsidR="00E40E4C" w:rsidRPr="00052DD1" w:rsidRDefault="00E40E4C" w:rsidP="002E3A88">
            <w:pPr>
              <w:jc w:val="center"/>
              <w:rPr>
                <w:rFonts w:cs="Times New Roman"/>
                <w:i/>
                <w:iCs/>
                <w:sz w:val="20"/>
                <w:szCs w:val="20"/>
                <w:u w:val="single"/>
                <w:lang w:val="es-ES"/>
              </w:rPr>
            </w:pPr>
          </w:p>
        </w:tc>
      </w:tr>
      <w:tr w:rsidR="00E40E4C" w:rsidRPr="00B16DC4" w14:paraId="1FF27503" w14:textId="77777777" w:rsidTr="00E40E4C">
        <w:trPr>
          <w:trHeight w:hRule="exact" w:val="420"/>
          <w:jc w:val="center"/>
        </w:trPr>
        <w:tc>
          <w:tcPr>
            <w:tcW w:w="2315" w:type="dxa"/>
            <w:shd w:val="clear" w:color="auto" w:fill="auto"/>
            <w:vAlign w:val="center"/>
          </w:tcPr>
          <w:p w14:paraId="155ADC9E" w14:textId="77777777" w:rsidR="00E40E4C" w:rsidRPr="00052DD1" w:rsidRDefault="00E40E4C" w:rsidP="002E3A88">
            <w:pPr>
              <w:rPr>
                <w:rFonts w:cs="Times New Roman"/>
                <w:i/>
                <w:iCs/>
                <w:sz w:val="20"/>
                <w:szCs w:val="20"/>
                <w:u w:val="single"/>
                <w:lang w:val="es-ES"/>
              </w:rPr>
            </w:pPr>
          </w:p>
        </w:tc>
        <w:tc>
          <w:tcPr>
            <w:tcW w:w="1489" w:type="dxa"/>
            <w:vAlign w:val="center"/>
          </w:tcPr>
          <w:p w14:paraId="59CE5770" w14:textId="77777777" w:rsidR="00E40E4C" w:rsidRPr="00052DD1" w:rsidRDefault="00E40E4C" w:rsidP="002E3A88">
            <w:pPr>
              <w:jc w:val="right"/>
              <w:rPr>
                <w:rFonts w:cs="Times New Roman"/>
                <w:i/>
                <w:iCs/>
                <w:sz w:val="20"/>
                <w:szCs w:val="20"/>
                <w:u w:val="single"/>
                <w:lang w:val="es-ES"/>
              </w:rPr>
            </w:pPr>
          </w:p>
        </w:tc>
        <w:tc>
          <w:tcPr>
            <w:tcW w:w="992" w:type="dxa"/>
          </w:tcPr>
          <w:p w14:paraId="1C23C11E" w14:textId="77777777" w:rsidR="00E40E4C" w:rsidRPr="00052DD1" w:rsidRDefault="00E40E4C" w:rsidP="002E3A88">
            <w:pPr>
              <w:jc w:val="center"/>
              <w:rPr>
                <w:rFonts w:cs="Times New Roman"/>
                <w:i/>
                <w:iCs/>
                <w:sz w:val="20"/>
                <w:szCs w:val="20"/>
                <w:u w:val="single"/>
                <w:lang w:val="es-ES"/>
              </w:rPr>
            </w:pPr>
          </w:p>
        </w:tc>
        <w:tc>
          <w:tcPr>
            <w:tcW w:w="992" w:type="dxa"/>
            <w:vAlign w:val="center"/>
          </w:tcPr>
          <w:p w14:paraId="5BFD4CCF" w14:textId="1718593A" w:rsidR="00E40E4C" w:rsidRPr="00052DD1" w:rsidRDefault="00E40E4C" w:rsidP="002E3A88">
            <w:pPr>
              <w:jc w:val="center"/>
              <w:rPr>
                <w:rFonts w:cs="Times New Roman"/>
                <w:i/>
                <w:iCs/>
                <w:sz w:val="20"/>
                <w:szCs w:val="20"/>
                <w:u w:val="single"/>
                <w:lang w:val="es-ES"/>
              </w:rPr>
            </w:pPr>
          </w:p>
        </w:tc>
        <w:tc>
          <w:tcPr>
            <w:tcW w:w="1276" w:type="dxa"/>
          </w:tcPr>
          <w:p w14:paraId="1F789B56" w14:textId="77777777" w:rsidR="00E40E4C" w:rsidRPr="00052DD1" w:rsidRDefault="00E40E4C" w:rsidP="002E3A88">
            <w:pPr>
              <w:jc w:val="center"/>
              <w:rPr>
                <w:rFonts w:cs="Times New Roman"/>
                <w:i/>
                <w:iCs/>
                <w:sz w:val="20"/>
                <w:szCs w:val="20"/>
                <w:u w:val="single"/>
                <w:lang w:val="es-ES"/>
              </w:rPr>
            </w:pPr>
          </w:p>
        </w:tc>
        <w:tc>
          <w:tcPr>
            <w:tcW w:w="1417" w:type="dxa"/>
            <w:shd w:val="clear" w:color="auto" w:fill="auto"/>
            <w:vAlign w:val="center"/>
          </w:tcPr>
          <w:p w14:paraId="70EBE890" w14:textId="77777777" w:rsidR="00E40E4C" w:rsidRPr="00052DD1" w:rsidRDefault="00E40E4C" w:rsidP="002E3A88">
            <w:pPr>
              <w:jc w:val="center"/>
              <w:rPr>
                <w:rFonts w:cs="Times New Roman"/>
                <w:i/>
                <w:iCs/>
                <w:sz w:val="20"/>
                <w:szCs w:val="20"/>
                <w:u w:val="single"/>
                <w:lang w:val="es-ES"/>
              </w:rPr>
            </w:pPr>
          </w:p>
        </w:tc>
        <w:tc>
          <w:tcPr>
            <w:tcW w:w="1131" w:type="dxa"/>
            <w:vAlign w:val="center"/>
          </w:tcPr>
          <w:p w14:paraId="2545D09A" w14:textId="77777777" w:rsidR="00E40E4C" w:rsidRPr="00052DD1" w:rsidRDefault="00E40E4C" w:rsidP="002E3A88">
            <w:pPr>
              <w:jc w:val="center"/>
              <w:rPr>
                <w:rFonts w:cs="Times New Roman"/>
                <w:i/>
                <w:iCs/>
                <w:sz w:val="20"/>
                <w:szCs w:val="20"/>
                <w:u w:val="single"/>
                <w:lang w:val="es-ES"/>
              </w:rPr>
            </w:pPr>
          </w:p>
        </w:tc>
        <w:tc>
          <w:tcPr>
            <w:tcW w:w="990" w:type="dxa"/>
            <w:vAlign w:val="center"/>
          </w:tcPr>
          <w:p w14:paraId="02607A31" w14:textId="747F4E2B" w:rsidR="00E40E4C" w:rsidRPr="00DC0465" w:rsidRDefault="00E40E4C" w:rsidP="002E3A88">
            <w:pPr>
              <w:jc w:val="center"/>
              <w:rPr>
                <w:lang w:val="es-ES"/>
              </w:rPr>
            </w:pPr>
          </w:p>
        </w:tc>
        <w:tc>
          <w:tcPr>
            <w:tcW w:w="1125" w:type="dxa"/>
            <w:vAlign w:val="center"/>
          </w:tcPr>
          <w:p w14:paraId="4A3C5FE6"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0937D9F2"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3EB0C5CC" w14:textId="77777777" w:rsidR="00E40E4C" w:rsidRPr="00052DD1" w:rsidRDefault="00E40E4C" w:rsidP="002E3A88">
            <w:pPr>
              <w:jc w:val="center"/>
              <w:rPr>
                <w:rFonts w:cs="Times New Roman"/>
                <w:i/>
                <w:iCs/>
                <w:sz w:val="20"/>
                <w:szCs w:val="20"/>
                <w:u w:val="single"/>
                <w:lang w:val="es-ES"/>
              </w:rPr>
            </w:pPr>
          </w:p>
        </w:tc>
        <w:tc>
          <w:tcPr>
            <w:tcW w:w="1121" w:type="dxa"/>
            <w:vAlign w:val="center"/>
          </w:tcPr>
          <w:p w14:paraId="1EA0F562" w14:textId="77777777" w:rsidR="00E40E4C" w:rsidRPr="00052DD1" w:rsidRDefault="00E40E4C" w:rsidP="002E3A88">
            <w:pPr>
              <w:jc w:val="center"/>
              <w:rPr>
                <w:rFonts w:cs="Times New Roman"/>
                <w:i/>
                <w:iCs/>
                <w:sz w:val="20"/>
                <w:szCs w:val="20"/>
                <w:u w:val="single"/>
                <w:lang w:val="es-ES"/>
              </w:rPr>
            </w:pPr>
          </w:p>
        </w:tc>
      </w:tr>
      <w:tr w:rsidR="00E40E4C" w:rsidRPr="00B16DC4" w14:paraId="2AA57FB2" w14:textId="77777777" w:rsidTr="00E40E4C">
        <w:trPr>
          <w:trHeight w:hRule="exact" w:val="420"/>
          <w:jc w:val="center"/>
        </w:trPr>
        <w:tc>
          <w:tcPr>
            <w:tcW w:w="2315" w:type="dxa"/>
            <w:shd w:val="clear" w:color="auto" w:fill="auto"/>
            <w:vAlign w:val="center"/>
          </w:tcPr>
          <w:p w14:paraId="337FC7B6" w14:textId="77777777" w:rsidR="00E40E4C" w:rsidRPr="00052DD1" w:rsidRDefault="00E40E4C" w:rsidP="002E3A88">
            <w:pPr>
              <w:rPr>
                <w:rFonts w:cs="Times New Roman"/>
                <w:i/>
                <w:iCs/>
                <w:sz w:val="20"/>
                <w:szCs w:val="20"/>
                <w:u w:val="single"/>
                <w:lang w:val="es-ES"/>
              </w:rPr>
            </w:pPr>
          </w:p>
        </w:tc>
        <w:tc>
          <w:tcPr>
            <w:tcW w:w="1489" w:type="dxa"/>
            <w:vAlign w:val="center"/>
          </w:tcPr>
          <w:p w14:paraId="481D5FDE" w14:textId="77777777" w:rsidR="00E40E4C" w:rsidRPr="00052DD1" w:rsidRDefault="00E40E4C" w:rsidP="002E3A88">
            <w:pPr>
              <w:jc w:val="right"/>
              <w:rPr>
                <w:rFonts w:cs="Times New Roman"/>
                <w:i/>
                <w:iCs/>
                <w:sz w:val="20"/>
                <w:szCs w:val="20"/>
                <w:u w:val="single"/>
                <w:lang w:val="es-ES"/>
              </w:rPr>
            </w:pPr>
          </w:p>
        </w:tc>
        <w:tc>
          <w:tcPr>
            <w:tcW w:w="992" w:type="dxa"/>
          </w:tcPr>
          <w:p w14:paraId="7B195EC0" w14:textId="77777777" w:rsidR="00E40E4C" w:rsidRPr="00052DD1" w:rsidRDefault="00E40E4C" w:rsidP="002E3A88">
            <w:pPr>
              <w:jc w:val="center"/>
              <w:rPr>
                <w:rFonts w:cs="Times New Roman"/>
                <w:i/>
                <w:iCs/>
                <w:sz w:val="20"/>
                <w:szCs w:val="20"/>
                <w:u w:val="single"/>
                <w:lang w:val="es-ES"/>
              </w:rPr>
            </w:pPr>
          </w:p>
        </w:tc>
        <w:tc>
          <w:tcPr>
            <w:tcW w:w="992" w:type="dxa"/>
            <w:vAlign w:val="center"/>
          </w:tcPr>
          <w:p w14:paraId="29F39DD1" w14:textId="22B45479" w:rsidR="00E40E4C" w:rsidRPr="00052DD1" w:rsidRDefault="00E40E4C" w:rsidP="002E3A88">
            <w:pPr>
              <w:jc w:val="center"/>
              <w:rPr>
                <w:rFonts w:cs="Times New Roman"/>
                <w:i/>
                <w:iCs/>
                <w:sz w:val="20"/>
                <w:szCs w:val="20"/>
                <w:u w:val="single"/>
                <w:lang w:val="es-ES"/>
              </w:rPr>
            </w:pPr>
          </w:p>
        </w:tc>
        <w:tc>
          <w:tcPr>
            <w:tcW w:w="1276" w:type="dxa"/>
          </w:tcPr>
          <w:p w14:paraId="01FA306C" w14:textId="77777777" w:rsidR="00E40E4C" w:rsidRPr="00052DD1" w:rsidRDefault="00E40E4C" w:rsidP="002E3A88">
            <w:pPr>
              <w:jc w:val="center"/>
              <w:rPr>
                <w:rFonts w:cs="Times New Roman"/>
                <w:i/>
                <w:iCs/>
                <w:sz w:val="20"/>
                <w:szCs w:val="20"/>
                <w:u w:val="single"/>
                <w:lang w:val="es-ES"/>
              </w:rPr>
            </w:pPr>
          </w:p>
        </w:tc>
        <w:tc>
          <w:tcPr>
            <w:tcW w:w="1417" w:type="dxa"/>
            <w:shd w:val="clear" w:color="auto" w:fill="auto"/>
            <w:vAlign w:val="center"/>
          </w:tcPr>
          <w:p w14:paraId="76205C5F" w14:textId="77777777" w:rsidR="00E40E4C" w:rsidRPr="00052DD1" w:rsidRDefault="00E40E4C" w:rsidP="002E3A88">
            <w:pPr>
              <w:jc w:val="center"/>
              <w:rPr>
                <w:rFonts w:cs="Times New Roman"/>
                <w:i/>
                <w:iCs/>
                <w:sz w:val="20"/>
                <w:szCs w:val="20"/>
                <w:u w:val="single"/>
                <w:lang w:val="es-ES"/>
              </w:rPr>
            </w:pPr>
          </w:p>
        </w:tc>
        <w:tc>
          <w:tcPr>
            <w:tcW w:w="1131" w:type="dxa"/>
            <w:vAlign w:val="center"/>
          </w:tcPr>
          <w:p w14:paraId="5284B11C" w14:textId="77777777" w:rsidR="00E40E4C" w:rsidRPr="00052DD1" w:rsidRDefault="00E40E4C" w:rsidP="002E3A88">
            <w:pPr>
              <w:jc w:val="center"/>
              <w:rPr>
                <w:rFonts w:cs="Times New Roman"/>
                <w:i/>
                <w:iCs/>
                <w:sz w:val="20"/>
                <w:szCs w:val="20"/>
                <w:u w:val="single"/>
                <w:lang w:val="es-ES"/>
              </w:rPr>
            </w:pPr>
          </w:p>
        </w:tc>
        <w:tc>
          <w:tcPr>
            <w:tcW w:w="990" w:type="dxa"/>
            <w:vAlign w:val="center"/>
          </w:tcPr>
          <w:p w14:paraId="478B4EAC" w14:textId="52E6AC66" w:rsidR="00E40E4C" w:rsidRPr="00DC0465" w:rsidRDefault="00E40E4C" w:rsidP="002E3A88">
            <w:pPr>
              <w:jc w:val="center"/>
              <w:rPr>
                <w:lang w:val="es-ES"/>
              </w:rPr>
            </w:pPr>
          </w:p>
        </w:tc>
        <w:tc>
          <w:tcPr>
            <w:tcW w:w="1125" w:type="dxa"/>
            <w:vAlign w:val="center"/>
          </w:tcPr>
          <w:p w14:paraId="4655EB9C"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693C9251" w14:textId="77777777" w:rsidR="00E40E4C" w:rsidRPr="00052DD1" w:rsidRDefault="00E40E4C" w:rsidP="002E3A88">
            <w:pPr>
              <w:jc w:val="center"/>
              <w:rPr>
                <w:rFonts w:cs="Times New Roman"/>
                <w:i/>
                <w:iCs/>
                <w:sz w:val="20"/>
                <w:szCs w:val="20"/>
                <w:u w:val="single"/>
                <w:lang w:val="es-ES"/>
              </w:rPr>
            </w:pPr>
          </w:p>
        </w:tc>
        <w:tc>
          <w:tcPr>
            <w:tcW w:w="1260" w:type="dxa"/>
            <w:vAlign w:val="center"/>
          </w:tcPr>
          <w:p w14:paraId="53C614AD" w14:textId="77777777" w:rsidR="00E40E4C" w:rsidRPr="00052DD1" w:rsidRDefault="00E40E4C" w:rsidP="002E3A88">
            <w:pPr>
              <w:jc w:val="center"/>
              <w:rPr>
                <w:rFonts w:cs="Times New Roman"/>
                <w:i/>
                <w:iCs/>
                <w:sz w:val="20"/>
                <w:szCs w:val="20"/>
                <w:u w:val="single"/>
                <w:lang w:val="es-ES"/>
              </w:rPr>
            </w:pPr>
          </w:p>
        </w:tc>
        <w:tc>
          <w:tcPr>
            <w:tcW w:w="1121" w:type="dxa"/>
            <w:vAlign w:val="center"/>
          </w:tcPr>
          <w:p w14:paraId="71141639" w14:textId="77777777" w:rsidR="00E40E4C" w:rsidRPr="00052DD1" w:rsidRDefault="00E40E4C" w:rsidP="002E3A88">
            <w:pPr>
              <w:jc w:val="center"/>
              <w:rPr>
                <w:rFonts w:cs="Times New Roman"/>
                <w:i/>
                <w:iCs/>
                <w:sz w:val="20"/>
                <w:szCs w:val="20"/>
                <w:u w:val="single"/>
                <w:lang w:val="es-ES"/>
              </w:rPr>
            </w:pPr>
          </w:p>
        </w:tc>
      </w:tr>
      <w:tr w:rsidR="00E40E4C" w:rsidRPr="00B16DC4" w14:paraId="3AB582CD" w14:textId="77777777" w:rsidTr="00E40E4C">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2A20943A" w14:textId="77777777" w:rsidR="00E40E4C" w:rsidRPr="00052DD1" w:rsidRDefault="00E40E4C" w:rsidP="002E3A88">
            <w:pPr>
              <w:rPr>
                <w:rFonts w:cs="Times New Roman"/>
                <w:i/>
                <w:iCs/>
                <w:sz w:val="20"/>
                <w:szCs w:val="20"/>
                <w:u w:val="single"/>
                <w:lang w:val="es-ES"/>
              </w:rPr>
            </w:pPr>
          </w:p>
        </w:tc>
        <w:tc>
          <w:tcPr>
            <w:tcW w:w="1489" w:type="dxa"/>
            <w:tcBorders>
              <w:top w:val="single" w:sz="4" w:space="0" w:color="auto"/>
              <w:left w:val="single" w:sz="4" w:space="0" w:color="auto"/>
              <w:bottom w:val="single" w:sz="4" w:space="0" w:color="auto"/>
              <w:right w:val="single" w:sz="4" w:space="0" w:color="auto"/>
            </w:tcBorders>
            <w:vAlign w:val="center"/>
          </w:tcPr>
          <w:p w14:paraId="3EE33044" w14:textId="77777777" w:rsidR="00E40E4C" w:rsidRPr="00052DD1" w:rsidRDefault="00E40E4C" w:rsidP="002E3A88">
            <w:pPr>
              <w:jc w:val="right"/>
              <w:rPr>
                <w:rFonts w:cs="Times New Roman"/>
                <w:i/>
                <w:iCs/>
                <w:sz w:val="20"/>
                <w:szCs w:val="20"/>
                <w:u w:val="single"/>
                <w:lang w:val="es-ES"/>
              </w:rPr>
            </w:pPr>
          </w:p>
        </w:tc>
        <w:tc>
          <w:tcPr>
            <w:tcW w:w="992" w:type="dxa"/>
            <w:tcBorders>
              <w:top w:val="single" w:sz="4" w:space="0" w:color="auto"/>
              <w:left w:val="single" w:sz="4" w:space="0" w:color="auto"/>
              <w:bottom w:val="single" w:sz="4" w:space="0" w:color="auto"/>
              <w:right w:val="single" w:sz="4" w:space="0" w:color="auto"/>
            </w:tcBorders>
          </w:tcPr>
          <w:p w14:paraId="2E1B1657" w14:textId="77777777" w:rsidR="00E40E4C" w:rsidRPr="00052DD1" w:rsidRDefault="00E40E4C" w:rsidP="002E3A88">
            <w:pPr>
              <w:jc w:val="center"/>
              <w:rPr>
                <w:rFonts w:cs="Times New Roman"/>
                <w:i/>
                <w:iCs/>
                <w:sz w:val="20"/>
                <w:szCs w:val="20"/>
                <w:u w:val="single"/>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2CBF6736" w14:textId="1754DFD1" w:rsidR="00E40E4C" w:rsidRPr="00052DD1" w:rsidRDefault="00E40E4C" w:rsidP="002E3A88">
            <w:pPr>
              <w:jc w:val="center"/>
              <w:rPr>
                <w:rFonts w:cs="Times New Roman"/>
                <w:i/>
                <w:iCs/>
                <w:sz w:val="20"/>
                <w:szCs w:val="20"/>
                <w:u w:val="single"/>
                <w:lang w:val="es-ES"/>
              </w:rPr>
            </w:pPr>
          </w:p>
        </w:tc>
        <w:tc>
          <w:tcPr>
            <w:tcW w:w="1276" w:type="dxa"/>
            <w:tcBorders>
              <w:top w:val="single" w:sz="4" w:space="0" w:color="auto"/>
              <w:left w:val="single" w:sz="4" w:space="0" w:color="auto"/>
              <w:bottom w:val="single" w:sz="4" w:space="0" w:color="auto"/>
              <w:right w:val="single" w:sz="4" w:space="0" w:color="auto"/>
            </w:tcBorders>
          </w:tcPr>
          <w:p w14:paraId="45E75989" w14:textId="77777777" w:rsidR="00E40E4C" w:rsidRPr="00052DD1" w:rsidRDefault="00E40E4C" w:rsidP="002E3A88">
            <w:pPr>
              <w:jc w:val="center"/>
              <w:rPr>
                <w:rFonts w:cs="Times New Roman"/>
                <w:i/>
                <w:iCs/>
                <w:sz w:val="20"/>
                <w:szCs w:val="20"/>
                <w:u w:val="single"/>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62AB38" w14:textId="77777777" w:rsidR="00E40E4C" w:rsidRPr="00052DD1" w:rsidRDefault="00E40E4C" w:rsidP="002E3A88">
            <w:pPr>
              <w:jc w:val="center"/>
              <w:rPr>
                <w:rFonts w:cs="Times New Roman"/>
                <w:i/>
                <w:iCs/>
                <w:sz w:val="20"/>
                <w:szCs w:val="20"/>
                <w:u w:val="single"/>
                <w:lang w:val="es-ES"/>
              </w:rPr>
            </w:pPr>
          </w:p>
        </w:tc>
        <w:tc>
          <w:tcPr>
            <w:tcW w:w="1131" w:type="dxa"/>
            <w:tcBorders>
              <w:top w:val="single" w:sz="4" w:space="0" w:color="auto"/>
              <w:left w:val="single" w:sz="4" w:space="0" w:color="auto"/>
              <w:bottom w:val="single" w:sz="4" w:space="0" w:color="auto"/>
              <w:right w:val="single" w:sz="4" w:space="0" w:color="auto"/>
            </w:tcBorders>
            <w:vAlign w:val="center"/>
          </w:tcPr>
          <w:p w14:paraId="7F4F63FF" w14:textId="77777777" w:rsidR="00E40E4C" w:rsidRPr="00052DD1" w:rsidRDefault="00E40E4C" w:rsidP="002E3A88">
            <w:pPr>
              <w:jc w:val="center"/>
              <w:rPr>
                <w:rFonts w:cs="Times New Roman"/>
                <w:i/>
                <w:iCs/>
                <w:sz w:val="20"/>
                <w:szCs w:val="20"/>
                <w:u w:val="single"/>
                <w:lang w:val="es-ES"/>
              </w:rPr>
            </w:pPr>
          </w:p>
        </w:tc>
        <w:tc>
          <w:tcPr>
            <w:tcW w:w="990" w:type="dxa"/>
            <w:tcBorders>
              <w:top w:val="single" w:sz="4" w:space="0" w:color="auto"/>
              <w:left w:val="single" w:sz="4" w:space="0" w:color="auto"/>
              <w:bottom w:val="single" w:sz="4" w:space="0" w:color="auto"/>
              <w:right w:val="single" w:sz="4" w:space="0" w:color="auto"/>
            </w:tcBorders>
            <w:vAlign w:val="center"/>
          </w:tcPr>
          <w:p w14:paraId="23BC39FB" w14:textId="7670AABB" w:rsidR="00E40E4C" w:rsidRPr="00DC0465" w:rsidRDefault="00E40E4C" w:rsidP="002E3A88">
            <w:pPr>
              <w:jc w:val="center"/>
              <w:rPr>
                <w:lang w:val="es-ES"/>
              </w:rPr>
            </w:pPr>
          </w:p>
        </w:tc>
        <w:tc>
          <w:tcPr>
            <w:tcW w:w="1125" w:type="dxa"/>
            <w:tcBorders>
              <w:top w:val="single" w:sz="4" w:space="0" w:color="auto"/>
              <w:left w:val="single" w:sz="4" w:space="0" w:color="auto"/>
              <w:bottom w:val="single" w:sz="4" w:space="0" w:color="auto"/>
              <w:right w:val="single" w:sz="4" w:space="0" w:color="auto"/>
            </w:tcBorders>
            <w:vAlign w:val="center"/>
          </w:tcPr>
          <w:p w14:paraId="07090DE8" w14:textId="77777777" w:rsidR="00E40E4C" w:rsidRPr="00052DD1" w:rsidRDefault="00E40E4C" w:rsidP="002E3A88">
            <w:pPr>
              <w:jc w:val="center"/>
              <w:rPr>
                <w:rFonts w:cs="Times New Roman"/>
                <w:i/>
                <w:iCs/>
                <w:sz w:val="20"/>
                <w:szCs w:val="20"/>
                <w:u w:val="single"/>
                <w:lang w:val="es-ES"/>
              </w:rPr>
            </w:pPr>
          </w:p>
        </w:tc>
        <w:tc>
          <w:tcPr>
            <w:tcW w:w="1260" w:type="dxa"/>
            <w:tcBorders>
              <w:top w:val="single" w:sz="4" w:space="0" w:color="auto"/>
              <w:left w:val="single" w:sz="4" w:space="0" w:color="auto"/>
              <w:bottom w:val="single" w:sz="4" w:space="0" w:color="auto"/>
              <w:right w:val="single" w:sz="4" w:space="0" w:color="auto"/>
            </w:tcBorders>
            <w:vAlign w:val="center"/>
          </w:tcPr>
          <w:p w14:paraId="016727D8" w14:textId="77777777" w:rsidR="00E40E4C" w:rsidRPr="00052DD1" w:rsidRDefault="00E40E4C" w:rsidP="002E3A88">
            <w:pPr>
              <w:jc w:val="center"/>
              <w:rPr>
                <w:rFonts w:cs="Times New Roman"/>
                <w:i/>
                <w:iCs/>
                <w:sz w:val="20"/>
                <w:szCs w:val="20"/>
                <w:u w:val="single"/>
                <w:lang w:val="es-ES"/>
              </w:rPr>
            </w:pPr>
          </w:p>
        </w:tc>
        <w:tc>
          <w:tcPr>
            <w:tcW w:w="1260" w:type="dxa"/>
            <w:tcBorders>
              <w:top w:val="single" w:sz="4" w:space="0" w:color="auto"/>
              <w:left w:val="single" w:sz="4" w:space="0" w:color="auto"/>
              <w:bottom w:val="single" w:sz="4" w:space="0" w:color="auto"/>
              <w:right w:val="single" w:sz="4" w:space="0" w:color="auto"/>
            </w:tcBorders>
            <w:vAlign w:val="center"/>
          </w:tcPr>
          <w:p w14:paraId="6D704389" w14:textId="77777777" w:rsidR="00E40E4C" w:rsidRPr="00052DD1" w:rsidRDefault="00E40E4C" w:rsidP="002E3A88">
            <w:pPr>
              <w:jc w:val="center"/>
              <w:rPr>
                <w:rFonts w:cs="Times New Roman"/>
                <w:i/>
                <w:iCs/>
                <w:sz w:val="20"/>
                <w:szCs w:val="20"/>
                <w:u w:val="single"/>
                <w:lang w:val="es-ES"/>
              </w:rPr>
            </w:pPr>
          </w:p>
        </w:tc>
        <w:tc>
          <w:tcPr>
            <w:tcW w:w="1121" w:type="dxa"/>
            <w:tcBorders>
              <w:top w:val="single" w:sz="4" w:space="0" w:color="auto"/>
              <w:left w:val="single" w:sz="4" w:space="0" w:color="auto"/>
              <w:bottom w:val="single" w:sz="4" w:space="0" w:color="auto"/>
              <w:right w:val="single" w:sz="4" w:space="0" w:color="auto"/>
            </w:tcBorders>
            <w:vAlign w:val="center"/>
          </w:tcPr>
          <w:p w14:paraId="06DBD636" w14:textId="77777777" w:rsidR="00E40E4C" w:rsidRPr="00052DD1" w:rsidRDefault="00E40E4C" w:rsidP="002E3A88">
            <w:pPr>
              <w:jc w:val="center"/>
              <w:rPr>
                <w:rFonts w:cs="Times New Roman"/>
                <w:i/>
                <w:iCs/>
                <w:sz w:val="20"/>
                <w:szCs w:val="20"/>
                <w:u w:val="single"/>
                <w:lang w:val="es-ES"/>
              </w:rPr>
            </w:pPr>
          </w:p>
        </w:tc>
      </w:tr>
      <w:tr w:rsidR="00E40E4C" w:rsidRPr="00B16DC4" w14:paraId="2C3C8D79" w14:textId="77777777" w:rsidTr="00E40E4C">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6067BA41" w14:textId="77777777" w:rsidR="00E40E4C" w:rsidRPr="00052DD1" w:rsidRDefault="00E40E4C" w:rsidP="002E3A88">
            <w:pPr>
              <w:rPr>
                <w:rFonts w:cs="Times New Roman"/>
                <w:i/>
                <w:iCs/>
                <w:sz w:val="20"/>
                <w:szCs w:val="20"/>
                <w:u w:val="single"/>
                <w:lang w:val="es-ES"/>
              </w:rPr>
            </w:pPr>
          </w:p>
        </w:tc>
        <w:tc>
          <w:tcPr>
            <w:tcW w:w="1489" w:type="dxa"/>
            <w:tcBorders>
              <w:top w:val="single" w:sz="4" w:space="0" w:color="auto"/>
              <w:left w:val="single" w:sz="4" w:space="0" w:color="auto"/>
              <w:bottom w:val="single" w:sz="4" w:space="0" w:color="auto"/>
              <w:right w:val="single" w:sz="4" w:space="0" w:color="auto"/>
            </w:tcBorders>
            <w:vAlign w:val="center"/>
          </w:tcPr>
          <w:p w14:paraId="066129E8" w14:textId="77777777" w:rsidR="00E40E4C" w:rsidRPr="00052DD1" w:rsidRDefault="00E40E4C" w:rsidP="002E3A88">
            <w:pPr>
              <w:jc w:val="right"/>
              <w:rPr>
                <w:rFonts w:cs="Times New Roman"/>
                <w:i/>
                <w:iCs/>
                <w:sz w:val="20"/>
                <w:szCs w:val="20"/>
                <w:u w:val="single"/>
                <w:lang w:val="es-ES"/>
              </w:rPr>
            </w:pPr>
          </w:p>
        </w:tc>
        <w:tc>
          <w:tcPr>
            <w:tcW w:w="992" w:type="dxa"/>
            <w:tcBorders>
              <w:top w:val="single" w:sz="4" w:space="0" w:color="auto"/>
              <w:left w:val="single" w:sz="4" w:space="0" w:color="auto"/>
              <w:bottom w:val="single" w:sz="4" w:space="0" w:color="auto"/>
              <w:right w:val="single" w:sz="4" w:space="0" w:color="auto"/>
            </w:tcBorders>
          </w:tcPr>
          <w:p w14:paraId="65442068" w14:textId="77777777" w:rsidR="00E40E4C" w:rsidRPr="00052DD1" w:rsidRDefault="00E40E4C" w:rsidP="002E3A88">
            <w:pPr>
              <w:jc w:val="center"/>
              <w:rPr>
                <w:rFonts w:cs="Times New Roman"/>
                <w:i/>
                <w:iCs/>
                <w:sz w:val="20"/>
                <w:szCs w:val="20"/>
                <w:u w:val="single"/>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58915809" w14:textId="6034D109" w:rsidR="00E40E4C" w:rsidRPr="00052DD1" w:rsidRDefault="00E40E4C" w:rsidP="002E3A88">
            <w:pPr>
              <w:jc w:val="center"/>
              <w:rPr>
                <w:rFonts w:cs="Times New Roman"/>
                <w:i/>
                <w:iCs/>
                <w:sz w:val="20"/>
                <w:szCs w:val="20"/>
                <w:u w:val="single"/>
                <w:lang w:val="es-ES"/>
              </w:rPr>
            </w:pPr>
          </w:p>
        </w:tc>
        <w:tc>
          <w:tcPr>
            <w:tcW w:w="1276" w:type="dxa"/>
            <w:tcBorders>
              <w:top w:val="single" w:sz="4" w:space="0" w:color="auto"/>
              <w:left w:val="single" w:sz="4" w:space="0" w:color="auto"/>
              <w:bottom w:val="single" w:sz="4" w:space="0" w:color="auto"/>
              <w:right w:val="single" w:sz="4" w:space="0" w:color="auto"/>
            </w:tcBorders>
          </w:tcPr>
          <w:p w14:paraId="5AEB384B" w14:textId="77777777" w:rsidR="00E40E4C" w:rsidRPr="00052DD1" w:rsidRDefault="00E40E4C" w:rsidP="002E3A88">
            <w:pPr>
              <w:jc w:val="center"/>
              <w:rPr>
                <w:rFonts w:cs="Times New Roman"/>
                <w:i/>
                <w:iCs/>
                <w:sz w:val="20"/>
                <w:szCs w:val="20"/>
                <w:u w:val="single"/>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DB8C16" w14:textId="77777777" w:rsidR="00E40E4C" w:rsidRPr="00052DD1" w:rsidRDefault="00E40E4C" w:rsidP="002E3A88">
            <w:pPr>
              <w:jc w:val="center"/>
              <w:rPr>
                <w:rFonts w:cs="Times New Roman"/>
                <w:i/>
                <w:iCs/>
                <w:sz w:val="20"/>
                <w:szCs w:val="20"/>
                <w:u w:val="single"/>
                <w:lang w:val="es-ES"/>
              </w:rPr>
            </w:pPr>
          </w:p>
        </w:tc>
        <w:tc>
          <w:tcPr>
            <w:tcW w:w="1131" w:type="dxa"/>
            <w:tcBorders>
              <w:top w:val="single" w:sz="4" w:space="0" w:color="auto"/>
              <w:left w:val="single" w:sz="4" w:space="0" w:color="auto"/>
              <w:bottom w:val="single" w:sz="4" w:space="0" w:color="auto"/>
              <w:right w:val="single" w:sz="4" w:space="0" w:color="auto"/>
            </w:tcBorders>
            <w:vAlign w:val="center"/>
          </w:tcPr>
          <w:p w14:paraId="5D99DE9D" w14:textId="77777777" w:rsidR="00E40E4C" w:rsidRPr="00052DD1" w:rsidRDefault="00E40E4C" w:rsidP="002E3A88">
            <w:pPr>
              <w:jc w:val="center"/>
              <w:rPr>
                <w:rFonts w:cs="Times New Roman"/>
                <w:i/>
                <w:iCs/>
                <w:sz w:val="20"/>
                <w:szCs w:val="20"/>
                <w:u w:val="single"/>
                <w:lang w:val="es-ES"/>
              </w:rPr>
            </w:pPr>
          </w:p>
        </w:tc>
        <w:tc>
          <w:tcPr>
            <w:tcW w:w="990" w:type="dxa"/>
            <w:tcBorders>
              <w:top w:val="single" w:sz="4" w:space="0" w:color="auto"/>
              <w:left w:val="single" w:sz="4" w:space="0" w:color="auto"/>
              <w:bottom w:val="single" w:sz="4" w:space="0" w:color="auto"/>
              <w:right w:val="single" w:sz="4" w:space="0" w:color="auto"/>
            </w:tcBorders>
            <w:vAlign w:val="center"/>
          </w:tcPr>
          <w:p w14:paraId="72FE16D5" w14:textId="5B52B46E" w:rsidR="00E40E4C" w:rsidRPr="00DC0465" w:rsidRDefault="00E40E4C" w:rsidP="002E3A88">
            <w:pPr>
              <w:jc w:val="center"/>
              <w:rPr>
                <w:lang w:val="es-ES"/>
              </w:rPr>
            </w:pPr>
          </w:p>
        </w:tc>
        <w:tc>
          <w:tcPr>
            <w:tcW w:w="1125" w:type="dxa"/>
            <w:tcBorders>
              <w:top w:val="single" w:sz="4" w:space="0" w:color="auto"/>
              <w:left w:val="single" w:sz="4" w:space="0" w:color="auto"/>
              <w:bottom w:val="single" w:sz="4" w:space="0" w:color="auto"/>
              <w:right w:val="single" w:sz="4" w:space="0" w:color="auto"/>
            </w:tcBorders>
            <w:vAlign w:val="center"/>
          </w:tcPr>
          <w:p w14:paraId="18BED581" w14:textId="77777777" w:rsidR="00E40E4C" w:rsidRPr="00052DD1" w:rsidRDefault="00E40E4C" w:rsidP="002E3A88">
            <w:pPr>
              <w:jc w:val="center"/>
              <w:rPr>
                <w:rFonts w:cs="Times New Roman"/>
                <w:i/>
                <w:iCs/>
                <w:sz w:val="20"/>
                <w:szCs w:val="20"/>
                <w:u w:val="single"/>
                <w:lang w:val="es-ES"/>
              </w:rPr>
            </w:pPr>
          </w:p>
        </w:tc>
        <w:tc>
          <w:tcPr>
            <w:tcW w:w="1260" w:type="dxa"/>
            <w:tcBorders>
              <w:top w:val="single" w:sz="4" w:space="0" w:color="auto"/>
              <w:left w:val="single" w:sz="4" w:space="0" w:color="auto"/>
              <w:bottom w:val="single" w:sz="4" w:space="0" w:color="auto"/>
              <w:right w:val="single" w:sz="4" w:space="0" w:color="auto"/>
            </w:tcBorders>
            <w:vAlign w:val="center"/>
          </w:tcPr>
          <w:p w14:paraId="6C116D88" w14:textId="77777777" w:rsidR="00E40E4C" w:rsidRPr="00052DD1" w:rsidRDefault="00E40E4C" w:rsidP="002E3A88">
            <w:pPr>
              <w:jc w:val="center"/>
              <w:rPr>
                <w:rFonts w:cs="Times New Roman"/>
                <w:i/>
                <w:iCs/>
                <w:sz w:val="20"/>
                <w:szCs w:val="20"/>
                <w:u w:val="single"/>
                <w:lang w:val="es-ES"/>
              </w:rPr>
            </w:pPr>
          </w:p>
        </w:tc>
        <w:tc>
          <w:tcPr>
            <w:tcW w:w="1260" w:type="dxa"/>
            <w:tcBorders>
              <w:top w:val="single" w:sz="4" w:space="0" w:color="auto"/>
              <w:left w:val="single" w:sz="4" w:space="0" w:color="auto"/>
              <w:bottom w:val="single" w:sz="4" w:space="0" w:color="auto"/>
              <w:right w:val="single" w:sz="4" w:space="0" w:color="auto"/>
            </w:tcBorders>
            <w:vAlign w:val="center"/>
          </w:tcPr>
          <w:p w14:paraId="73A3F908" w14:textId="77777777" w:rsidR="00E40E4C" w:rsidRPr="00052DD1" w:rsidRDefault="00E40E4C" w:rsidP="002E3A88">
            <w:pPr>
              <w:jc w:val="center"/>
              <w:rPr>
                <w:rFonts w:cs="Times New Roman"/>
                <w:i/>
                <w:iCs/>
                <w:sz w:val="20"/>
                <w:szCs w:val="20"/>
                <w:u w:val="single"/>
                <w:lang w:val="es-ES"/>
              </w:rPr>
            </w:pPr>
          </w:p>
        </w:tc>
        <w:tc>
          <w:tcPr>
            <w:tcW w:w="1121" w:type="dxa"/>
            <w:tcBorders>
              <w:top w:val="single" w:sz="4" w:space="0" w:color="auto"/>
              <w:left w:val="single" w:sz="4" w:space="0" w:color="auto"/>
              <w:bottom w:val="single" w:sz="4" w:space="0" w:color="auto"/>
              <w:right w:val="single" w:sz="4" w:space="0" w:color="auto"/>
            </w:tcBorders>
            <w:vAlign w:val="center"/>
          </w:tcPr>
          <w:p w14:paraId="7495A735" w14:textId="77777777" w:rsidR="00E40E4C" w:rsidRPr="00052DD1" w:rsidRDefault="00E40E4C" w:rsidP="002E3A88">
            <w:pPr>
              <w:jc w:val="center"/>
              <w:rPr>
                <w:rFonts w:cs="Times New Roman"/>
                <w:i/>
                <w:iCs/>
                <w:sz w:val="20"/>
                <w:szCs w:val="20"/>
                <w:u w:val="single"/>
                <w:lang w:val="es-ES"/>
              </w:rPr>
            </w:pPr>
          </w:p>
        </w:tc>
      </w:tr>
    </w:tbl>
    <w:p w14:paraId="078BCFB9" w14:textId="384EE190" w:rsidR="001805F8" w:rsidRPr="00EF786B" w:rsidRDefault="001805F8" w:rsidP="00ED08B8">
      <w:pPr>
        <w:rPr>
          <w:sz w:val="4"/>
          <w:szCs w:val="4"/>
          <w:lang w:val="es-ES"/>
        </w:rPr>
      </w:pPr>
    </w:p>
    <w:sectPr w:rsidR="001805F8" w:rsidRPr="00EF786B" w:rsidSect="00A20101">
      <w:headerReference w:type="default" r:id="rId18"/>
      <w:footerReference w:type="default" r:id="rId19"/>
      <w:footnotePr>
        <w:numRestart w:val="eachSect"/>
      </w:footnotePr>
      <w:pgSz w:w="15840" w:h="12240" w:orient="landscape"/>
      <w:pgMar w:top="1417" w:right="1417" w:bottom="1417"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43FF4" w14:textId="77777777" w:rsidR="00877E0D" w:rsidRDefault="00877E0D" w:rsidP="00E2228C">
      <w:r>
        <w:separator/>
      </w:r>
    </w:p>
  </w:endnote>
  <w:endnote w:type="continuationSeparator" w:id="0">
    <w:p w14:paraId="3CEE0EB6" w14:textId="77777777" w:rsidR="00877E0D" w:rsidRDefault="00877E0D" w:rsidP="00E2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EDA3" w14:textId="51461AF2" w:rsidR="00E47EAC" w:rsidRPr="00E47EAC" w:rsidRDefault="00E47EAC" w:rsidP="00E47EAC">
    <w:pPr>
      <w:pStyle w:val="Pieddepage"/>
      <w:pBdr>
        <w:top w:val="single" w:sz="4" w:space="1" w:color="auto"/>
      </w:pBdr>
      <w:tabs>
        <w:tab w:val="right" w:pos="15168"/>
      </w:tabs>
      <w:rPr>
        <w:lang w:val="es-ES"/>
      </w:rPr>
    </w:pPr>
    <w:r w:rsidRPr="00E47EAC">
      <w:rPr>
        <w:lang w:val="es-ES"/>
      </w:rPr>
      <w:t xml:space="preserve">ope-M2102a – Plan de Adquisiciones </w:t>
    </w:r>
    <w:r>
      <w:rPr>
        <w:lang w:val="es-ES"/>
      </w:rPr>
      <w:tab/>
    </w:r>
    <w:r>
      <w:rPr>
        <w:lang w:val="es-ES"/>
      </w:rPr>
      <w:tab/>
    </w:r>
    <w:r>
      <w:fldChar w:fldCharType="begin"/>
    </w:r>
    <w:r w:rsidRPr="00E47EAC">
      <w:rPr>
        <w:lang w:val="es-ES"/>
      </w:rPr>
      <w:instrText>PAGE   \* MERGEFORMAT</w:instrText>
    </w:r>
    <w:r>
      <w:fldChar w:fldCharType="separate"/>
    </w:r>
    <w:r w:rsidR="00532157">
      <w:rPr>
        <w:noProof/>
        <w:lang w:val="es-ES"/>
      </w:rPr>
      <w:t>3</w:t>
    </w:r>
    <w:r>
      <w:fldChar w:fldCharType="end"/>
    </w:r>
    <w:r w:rsidRPr="00E47EAC">
      <w:rPr>
        <w:lang w:val="es-ES"/>
      </w:rPr>
      <w:tab/>
    </w:r>
  </w:p>
  <w:p w14:paraId="2AADFA60" w14:textId="0DD868E6" w:rsidR="00AD5350" w:rsidRPr="00E47EAC" w:rsidRDefault="00AD5350" w:rsidP="00E47EAC">
    <w:pPr>
      <w:pStyle w:val="Pieddepage"/>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F2249" w14:textId="34FB3C7D" w:rsidR="00DD5AED" w:rsidRDefault="00DD5AED">
    <w:pPr>
      <w:pStyle w:val="Pieddepage"/>
    </w:pPr>
    <w:r>
      <w:rPr>
        <w:lang w:val="es-ES"/>
      </w:rPr>
      <w:t>AFD-M0041e</w:t>
    </w:r>
    <w:r w:rsidRPr="00C72705">
      <w:rPr>
        <w:lang w:val="es-ES"/>
      </w:rPr>
      <w:t xml:space="preserve"> – Plan de Adquisiciones</w:t>
    </w:r>
    <w:r>
      <w:rPr>
        <w:lang w:val="es-ES"/>
      </w:rPr>
      <w:t xml:space="preserve"> – </w:t>
    </w:r>
    <w:proofErr w:type="gramStart"/>
    <w:r>
      <w:rPr>
        <w:lang w:val="es-ES"/>
      </w:rPr>
      <w:t>Febrero</w:t>
    </w:r>
    <w:proofErr w:type="gramEnd"/>
    <w:r>
      <w:rPr>
        <w:lang w:val="es-ES"/>
      </w:rPr>
      <w:t xml:space="preserve"> 2024</w:t>
    </w:r>
  </w:p>
  <w:p w14:paraId="537BCCDD" w14:textId="77777777" w:rsidR="00DD5AED" w:rsidRDefault="00DD5AE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245A" w14:textId="1EEA23E4" w:rsidR="00E47EAC" w:rsidRPr="00E47EAC" w:rsidRDefault="00A435F3" w:rsidP="00A435F3">
    <w:pPr>
      <w:pStyle w:val="Pieddepage"/>
      <w:pBdr>
        <w:top w:val="single" w:sz="4" w:space="1" w:color="auto"/>
      </w:pBdr>
      <w:tabs>
        <w:tab w:val="clear" w:pos="4536"/>
        <w:tab w:val="clear" w:pos="9072"/>
        <w:tab w:val="right" w:pos="15168"/>
      </w:tabs>
      <w:rPr>
        <w:lang w:val="es-ES"/>
      </w:rPr>
    </w:pPr>
    <w:r>
      <w:rPr>
        <w:lang w:val="es-ES"/>
      </w:rPr>
      <w:t>AFD-M0041</w:t>
    </w:r>
    <w:r w:rsidR="00E40E4C">
      <w:rPr>
        <w:lang w:val="es-ES"/>
      </w:rPr>
      <w:t>e</w:t>
    </w:r>
    <w:r w:rsidRPr="00C72705">
      <w:rPr>
        <w:lang w:val="es-ES"/>
      </w:rPr>
      <w:t xml:space="preserve"> </w:t>
    </w:r>
    <w:r w:rsidR="00E47EAC" w:rsidRPr="00E47EAC">
      <w:rPr>
        <w:lang w:val="es-ES"/>
      </w:rPr>
      <w:t xml:space="preserve">– Plan de Adquisiciones </w:t>
    </w:r>
    <w:r w:rsidR="00C72705">
      <w:rPr>
        <w:lang w:val="es-ES"/>
      </w:rPr>
      <w:t>–</w:t>
    </w:r>
    <w:r>
      <w:rPr>
        <w:lang w:val="es-ES"/>
      </w:rPr>
      <w:t xml:space="preserve"> </w:t>
    </w:r>
    <w:proofErr w:type="gramStart"/>
    <w:r>
      <w:rPr>
        <w:lang w:val="es-ES"/>
      </w:rPr>
      <w:t>Febrero</w:t>
    </w:r>
    <w:proofErr w:type="gramEnd"/>
    <w:r>
      <w:rPr>
        <w:lang w:val="es-ES"/>
      </w:rPr>
      <w:t xml:space="preserve"> 2024</w:t>
    </w:r>
    <w:r w:rsidR="00E47EAC" w:rsidRPr="00E47EAC">
      <w:rPr>
        <w:lang w:val="es-ES"/>
      </w:rPr>
      <w:tab/>
    </w:r>
  </w:p>
  <w:p w14:paraId="7A873BC7" w14:textId="77777777" w:rsidR="00E47EAC" w:rsidRPr="00E47EAC" w:rsidRDefault="00E47EAC" w:rsidP="00E47EAC">
    <w:pPr>
      <w:pStyle w:val="Pieddepage"/>
      <w:rPr>
        <w:lang w:val="es-E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D1D0" w14:textId="64862075" w:rsidR="00F457DD" w:rsidRPr="00C72705" w:rsidRDefault="00A435F3" w:rsidP="00EF786B">
    <w:pPr>
      <w:pStyle w:val="Pieddepage"/>
      <w:pBdr>
        <w:top w:val="single" w:sz="4" w:space="1" w:color="auto"/>
      </w:pBdr>
      <w:tabs>
        <w:tab w:val="clear" w:pos="9072"/>
        <w:tab w:val="left" w:pos="9170"/>
      </w:tabs>
      <w:rPr>
        <w:lang w:val="es-ES"/>
      </w:rPr>
    </w:pPr>
    <w:r>
      <w:rPr>
        <w:lang w:val="es-ES"/>
      </w:rPr>
      <w:t>AFD-M0041</w:t>
    </w:r>
    <w:r w:rsidR="00E40E4C">
      <w:rPr>
        <w:lang w:val="es-ES"/>
      </w:rPr>
      <w:t>e</w:t>
    </w:r>
    <w:r w:rsidR="00F457DD" w:rsidRPr="00C72705">
      <w:rPr>
        <w:lang w:val="es-ES"/>
      </w:rPr>
      <w:t xml:space="preserve"> – Plan de Adquisiciones</w:t>
    </w:r>
    <w:r w:rsidR="00C72705">
      <w:rPr>
        <w:lang w:val="es-ES"/>
      </w:rPr>
      <w:t xml:space="preserve"> –</w:t>
    </w:r>
    <w:r w:rsidR="004A7F29">
      <w:rPr>
        <w:lang w:val="es-ES"/>
      </w:rPr>
      <w:t xml:space="preserve"> </w:t>
    </w:r>
    <w:proofErr w:type="gramStart"/>
    <w:r>
      <w:rPr>
        <w:lang w:val="es-ES"/>
      </w:rPr>
      <w:t>Febrero</w:t>
    </w:r>
    <w:proofErr w:type="gramEnd"/>
    <w:r>
      <w:rPr>
        <w:lang w:val="es-ES"/>
      </w:rPr>
      <w:t xml:space="preserve"> 2024</w:t>
    </w:r>
    <w:r w:rsidR="00DD5AED">
      <w:rPr>
        <w:lang w:val="es-ES"/>
      </w:rPr>
      <w:tab/>
    </w:r>
  </w:p>
  <w:p w14:paraId="6C5E7106" w14:textId="77777777" w:rsidR="00F457DD" w:rsidRPr="00C72705" w:rsidRDefault="00F457DD" w:rsidP="00F457DD">
    <w:pPr>
      <w:pStyle w:val="Pieddepage"/>
      <w:rPr>
        <w:lang w:val="es-E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FCAC" w14:textId="20D4E356" w:rsidR="00E47EAC" w:rsidRPr="00E47EAC" w:rsidRDefault="00E47EAC" w:rsidP="00E40E4C">
    <w:pPr>
      <w:pStyle w:val="Pieddepage"/>
      <w:pBdr>
        <w:top w:val="single" w:sz="4" w:space="1" w:color="auto"/>
      </w:pBdr>
      <w:tabs>
        <w:tab w:val="clear" w:pos="9072"/>
        <w:tab w:val="right" w:pos="10206"/>
      </w:tabs>
      <w:rPr>
        <w:lang w:val="es-ES"/>
      </w:rPr>
    </w:pPr>
    <w:r w:rsidRPr="000F2757">
      <w:rPr>
        <w:lang w:val="es-ES"/>
      </w:rPr>
      <w:tab/>
    </w:r>
    <w:r>
      <w:fldChar w:fldCharType="begin"/>
    </w:r>
    <w:r w:rsidRPr="000F2757">
      <w:rPr>
        <w:lang w:val="es-ES"/>
      </w:rPr>
      <w:instrText>PAGE   \* MERGEFORMAT</w:instrText>
    </w:r>
    <w:r>
      <w:fldChar w:fldCharType="separate"/>
    </w:r>
    <w:r w:rsidR="00EB2B3E">
      <w:rPr>
        <w:noProof/>
        <w:lang w:val="es-ES"/>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CB11" w14:textId="13C4EBDC" w:rsidR="00E47EAC" w:rsidRPr="00E47EAC" w:rsidRDefault="00C72705" w:rsidP="00E47EAC">
    <w:pPr>
      <w:pStyle w:val="Pieddepage"/>
      <w:pBdr>
        <w:top w:val="single" w:sz="4" w:space="1" w:color="auto"/>
      </w:pBdr>
      <w:tabs>
        <w:tab w:val="clear" w:pos="9072"/>
        <w:tab w:val="right" w:pos="10206"/>
      </w:tabs>
      <w:rPr>
        <w:lang w:val="es-ES"/>
      </w:rPr>
    </w:pPr>
    <w:r>
      <w:rPr>
        <w:lang w:val="es-ES"/>
      </w:rPr>
      <w:tab/>
    </w:r>
    <w:r>
      <w:rPr>
        <w:lang w:val="es-ES"/>
      </w:rPr>
      <w:tab/>
    </w:r>
    <w:r>
      <w:rPr>
        <w:lang w:val="es-ES"/>
      </w:rPr>
      <w:tab/>
    </w:r>
    <w:r>
      <w:rPr>
        <w:lang w:val="es-ES"/>
      </w:rPr>
      <w:tab/>
    </w:r>
    <w:r w:rsidR="00E40E4C">
      <w:fldChar w:fldCharType="begin"/>
    </w:r>
    <w:r w:rsidR="00E40E4C" w:rsidRPr="000F2757">
      <w:rPr>
        <w:lang w:val="es-ES"/>
      </w:rPr>
      <w:instrText>PAGE   \* MERGEFORMAT</w:instrText>
    </w:r>
    <w:r w:rsidR="00E40E4C">
      <w:fldChar w:fldCharType="separate"/>
    </w:r>
    <w:r w:rsidR="00EB2B3E">
      <w:rPr>
        <w:noProof/>
        <w:lang w:val="es-ES"/>
      </w:rPr>
      <w:t>2</w:t>
    </w:r>
    <w:r w:rsidR="00E40E4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52A9E" w14:textId="77777777" w:rsidR="00877E0D" w:rsidRDefault="00877E0D" w:rsidP="00E2228C">
      <w:r>
        <w:separator/>
      </w:r>
    </w:p>
  </w:footnote>
  <w:footnote w:type="continuationSeparator" w:id="0">
    <w:p w14:paraId="35F80637" w14:textId="77777777" w:rsidR="00877E0D" w:rsidRDefault="00877E0D" w:rsidP="00E2228C">
      <w:r>
        <w:continuationSeparator/>
      </w:r>
    </w:p>
  </w:footnote>
  <w:footnote w:id="1">
    <w:p w14:paraId="28EB2764" w14:textId="092EF2B3" w:rsidR="00AD5350" w:rsidRPr="001868CC" w:rsidRDefault="00AD5350" w:rsidP="00D97A4D">
      <w:pPr>
        <w:pStyle w:val="Notedebasdepage"/>
        <w:jc w:val="both"/>
        <w:rPr>
          <w:lang w:val="es-MX"/>
        </w:rPr>
      </w:pPr>
      <w:r>
        <w:rPr>
          <w:rStyle w:val="Appelnotedebasdep"/>
        </w:rPr>
        <w:footnoteRef/>
      </w:r>
      <w:r w:rsidRPr="004B5983">
        <w:rPr>
          <w:lang w:val="es-ES"/>
        </w:rPr>
        <w:t xml:space="preserve"> </w:t>
      </w:r>
      <w:r w:rsidRPr="001868CC">
        <w:rPr>
          <w:lang w:val="es-MX"/>
        </w:rPr>
        <w:t xml:space="preserve">Los </w:t>
      </w:r>
      <w:r>
        <w:rPr>
          <w:lang w:val="es-MX"/>
        </w:rPr>
        <w:t>procedimientos de adquisiciones</w:t>
      </w:r>
      <w:r w:rsidRPr="001868CC">
        <w:rPr>
          <w:lang w:val="es-MX"/>
        </w:rPr>
        <w:t xml:space="preserve"> no descritos en este documento (</w:t>
      </w:r>
      <w:r>
        <w:rPr>
          <w:lang w:val="es-MX"/>
        </w:rPr>
        <w:t>adquisiciones basadas en performance,</w:t>
      </w:r>
      <w:r w:rsidR="00D97A4D">
        <w:rPr>
          <w:lang w:val="es-MX"/>
        </w:rPr>
        <w:t xml:space="preserve"> </w:t>
      </w:r>
      <w:r w:rsidRPr="001868CC">
        <w:rPr>
          <w:lang w:val="es-MX"/>
        </w:rPr>
        <w:t xml:space="preserve">licitaciones en dos etapas, </w:t>
      </w:r>
      <w:r>
        <w:rPr>
          <w:lang w:val="es-MX"/>
        </w:rPr>
        <w:t>competencia</w:t>
      </w:r>
      <w:r w:rsidRPr="001868CC">
        <w:rPr>
          <w:lang w:val="es-MX"/>
        </w:rPr>
        <w:t xml:space="preserve"> arquitectónic</w:t>
      </w:r>
      <w:r>
        <w:rPr>
          <w:lang w:val="es-MX"/>
        </w:rPr>
        <w:t>a</w:t>
      </w:r>
      <w:r w:rsidRPr="001868CC">
        <w:rPr>
          <w:lang w:val="es-MX"/>
        </w:rPr>
        <w:t>, procedimiento</w:t>
      </w:r>
      <w:r>
        <w:rPr>
          <w:lang w:val="es-MX"/>
        </w:rPr>
        <w:t xml:space="preserve"> competitivo</w:t>
      </w:r>
      <w:r w:rsidRPr="001868CC">
        <w:rPr>
          <w:lang w:val="es-MX"/>
        </w:rPr>
        <w:t xml:space="preserve"> de diálogo, </w:t>
      </w:r>
      <w:r>
        <w:rPr>
          <w:lang w:val="es-MX"/>
        </w:rPr>
        <w:t>subastas inversas</w:t>
      </w:r>
      <w:r w:rsidRPr="001868CC">
        <w:rPr>
          <w:lang w:val="es-MX"/>
        </w:rPr>
        <w:t>) son poco utilizadas en el marco de los fina</w:t>
      </w:r>
      <w:r>
        <w:rPr>
          <w:lang w:val="es-MX"/>
        </w:rPr>
        <w:t>n</w:t>
      </w:r>
      <w:r w:rsidRPr="001868CC">
        <w:rPr>
          <w:lang w:val="es-MX"/>
        </w:rPr>
        <w:t>ciamientos de la A</w:t>
      </w:r>
      <w:r>
        <w:rPr>
          <w:lang w:val="es-MX"/>
        </w:rPr>
        <w:t>FD en países extranjeros y deberán ser objeto, de manera sistemática, de consulta</w:t>
      </w:r>
      <w:r w:rsidRPr="001868CC">
        <w:rPr>
          <w:lang w:val="es-MX"/>
        </w:rPr>
        <w:t xml:space="preserve"> previa entre el </w:t>
      </w:r>
      <w:r>
        <w:rPr>
          <w:lang w:val="es-MX"/>
        </w:rPr>
        <w:t>Beneficiario</w:t>
      </w:r>
      <w:r w:rsidRPr="001868CC">
        <w:rPr>
          <w:lang w:val="es-MX"/>
        </w:rPr>
        <w:t xml:space="preserve"> y la AFD.</w:t>
      </w:r>
    </w:p>
    <w:p w14:paraId="6052F806" w14:textId="77777777" w:rsidR="00AD5350" w:rsidRPr="004B5983" w:rsidRDefault="00AD5350" w:rsidP="00EF73FF">
      <w:pPr>
        <w:pStyle w:val="Notedebasdepage"/>
        <w:rPr>
          <w:lang w:val="es-ES"/>
        </w:rPr>
      </w:pPr>
      <w:r w:rsidRPr="004B5983">
        <w:rPr>
          <w:lang w:val="es-ES"/>
        </w:rPr>
        <w:t xml:space="preserve"> </w:t>
      </w:r>
    </w:p>
  </w:footnote>
  <w:footnote w:id="2">
    <w:p w14:paraId="39E06A90" w14:textId="77777777" w:rsidR="00052DD1" w:rsidRPr="005866B6" w:rsidRDefault="00052DD1" w:rsidP="00052DD1">
      <w:pPr>
        <w:pStyle w:val="Notedebasdepage"/>
        <w:jc w:val="both"/>
        <w:rPr>
          <w:lang w:val="es-MX"/>
        </w:rPr>
      </w:pPr>
      <w:r>
        <w:rPr>
          <w:rStyle w:val="Appelnotedebasdep"/>
        </w:rPr>
        <w:footnoteRef/>
      </w:r>
      <w:r w:rsidRPr="004B5983">
        <w:rPr>
          <w:lang w:val="es-ES"/>
        </w:rPr>
        <w:t xml:space="preserve"> </w:t>
      </w:r>
      <w:r w:rsidRPr="005866B6">
        <w:rPr>
          <w:lang w:val="es-MX"/>
        </w:rPr>
        <w:t xml:space="preserve">Véase el párrafo 2.3.6. de </w:t>
      </w:r>
      <w:proofErr w:type="gramStart"/>
      <w:r w:rsidRPr="005866B6">
        <w:rPr>
          <w:lang w:val="es-MX"/>
        </w:rPr>
        <w:t xml:space="preserve">las </w:t>
      </w:r>
      <w:r>
        <w:rPr>
          <w:lang w:val="es-MX"/>
        </w:rPr>
        <w:t>”Normas</w:t>
      </w:r>
      <w:proofErr w:type="gramEnd"/>
      <w:r>
        <w:rPr>
          <w:lang w:val="es-MX"/>
        </w:rPr>
        <w:t xml:space="preserve"> de adquisiciones para Contratos Financiados por la AFD en Países Extranjeros“</w:t>
      </w:r>
      <w:r w:rsidRPr="005866B6">
        <w:rPr>
          <w:lang w:val="es-MX"/>
        </w:rPr>
        <w:t xml:space="preserve"> </w:t>
      </w:r>
    </w:p>
  </w:footnote>
  <w:footnote w:id="3">
    <w:p w14:paraId="66621E9E" w14:textId="0D016210" w:rsidR="005F6071" w:rsidRPr="005F6071" w:rsidRDefault="005F6071" w:rsidP="00655606">
      <w:pPr>
        <w:pStyle w:val="Notedebasdepage"/>
        <w:jc w:val="both"/>
        <w:rPr>
          <w:lang w:val="es-ES"/>
        </w:rPr>
      </w:pPr>
      <w:r>
        <w:rPr>
          <w:rStyle w:val="Appelnotedebasdep"/>
        </w:rPr>
        <w:footnoteRef/>
      </w:r>
      <w:r w:rsidRPr="005F6071">
        <w:rPr>
          <w:lang w:val="es-ES"/>
        </w:rPr>
        <w:t xml:space="preserve"> </w:t>
      </w:r>
      <w:r>
        <w:rPr>
          <w:sz w:val="18"/>
          <w:szCs w:val="18"/>
          <w:lang w:val="es-MX"/>
        </w:rPr>
        <w:t>Indicar “Versión Inicial” para la primera versión, y precisar el número de actualización para las siguientes.</w:t>
      </w:r>
    </w:p>
  </w:footnote>
  <w:footnote w:id="4">
    <w:p w14:paraId="29D51838" w14:textId="30BF520E" w:rsidR="00E40E4C" w:rsidRPr="00542B37" w:rsidRDefault="00E40E4C">
      <w:pPr>
        <w:pStyle w:val="Notedebasdepage"/>
        <w:rPr>
          <w:sz w:val="18"/>
          <w:lang w:val="es-ES"/>
        </w:rPr>
      </w:pPr>
      <w:r>
        <w:rPr>
          <w:rStyle w:val="Appelnotedebasdep"/>
        </w:rPr>
        <w:footnoteRef/>
      </w:r>
      <w:r w:rsidRPr="00E40E4C">
        <w:rPr>
          <w:lang w:val="es-ES"/>
        </w:rPr>
        <w:t xml:space="preserve"> </w:t>
      </w:r>
      <w:r w:rsidRPr="00542B37">
        <w:rPr>
          <w:sz w:val="18"/>
          <w:lang w:val="es-ES"/>
        </w:rPr>
        <w:t>En caso de contratos con varios lotes, contratos de órdenes de compra o contratos con tramos, esto debe indicarse en esta columna. Varios pequeños contratos idénticos pueden agruparse en una misma línea, indicando-lo, si el contenido de la línea es el mismo para cada uno. En este caso, el monto a indicar es el monto total (agregado), pero indicando el detalle por contrato cuando sea relevante.</w:t>
      </w:r>
    </w:p>
  </w:footnote>
  <w:footnote w:id="5">
    <w:p w14:paraId="14B8FCE2" w14:textId="1A5B24EC" w:rsidR="00E40E4C" w:rsidRPr="005F6071" w:rsidRDefault="00E40E4C" w:rsidP="00655606">
      <w:pPr>
        <w:pStyle w:val="Notedebasdepage"/>
        <w:jc w:val="both"/>
        <w:rPr>
          <w:lang w:val="es-ES"/>
        </w:rPr>
      </w:pPr>
      <w:r>
        <w:rPr>
          <w:rStyle w:val="Appelnotedebasdep"/>
        </w:rPr>
        <w:footnoteRef/>
      </w:r>
      <w:r w:rsidRPr="005F6071">
        <w:rPr>
          <w:lang w:val="es-ES"/>
        </w:rPr>
        <w:t xml:space="preserve"> </w:t>
      </w:r>
      <w:r>
        <w:rPr>
          <w:sz w:val="18"/>
          <w:szCs w:val="18"/>
          <w:lang w:val="es-MX"/>
        </w:rPr>
        <w:t>C para servicios de consultoría; IC para consultores individuales; B para bienes; O para obras; P para plantas; NC para servicios de no-consultoría.</w:t>
      </w:r>
    </w:p>
  </w:footnote>
  <w:footnote w:id="6">
    <w:p w14:paraId="403C642C" w14:textId="121D098A" w:rsidR="00E40E4C" w:rsidRPr="004F363F" w:rsidRDefault="00E40E4C" w:rsidP="00655606">
      <w:pPr>
        <w:pStyle w:val="Notedebasdepage"/>
        <w:jc w:val="both"/>
        <w:rPr>
          <w:lang w:val="es-ES"/>
        </w:rPr>
      </w:pPr>
      <w:r w:rsidRPr="007728C6">
        <w:rPr>
          <w:rStyle w:val="Appelnotedebasdep"/>
        </w:rPr>
        <w:footnoteRef/>
      </w:r>
      <w:r w:rsidRPr="007728C6">
        <w:rPr>
          <w:lang w:val="es-ES"/>
        </w:rPr>
        <w:t xml:space="preserve"> </w:t>
      </w:r>
      <w:r w:rsidRPr="00542B37">
        <w:rPr>
          <w:sz w:val="18"/>
          <w:lang w:val="es-ES"/>
        </w:rPr>
        <w:t>Indicar “nacional” o “internacional” o “sin publicación” en caso de solicitud de cotizaciones o contratación directa.</w:t>
      </w:r>
      <w:r>
        <w:rPr>
          <w:lang w:val="es-ES"/>
        </w:rPr>
        <w:t xml:space="preserve"> </w:t>
      </w:r>
    </w:p>
  </w:footnote>
  <w:footnote w:id="7">
    <w:p w14:paraId="38ACA0A1" w14:textId="77777777" w:rsidR="00E40E4C" w:rsidRDefault="00E40E4C" w:rsidP="00655606">
      <w:pPr>
        <w:pStyle w:val="Notedebasdepage"/>
        <w:jc w:val="both"/>
        <w:rPr>
          <w:sz w:val="18"/>
          <w:szCs w:val="18"/>
          <w:lang w:val="es-ES"/>
        </w:rPr>
      </w:pPr>
      <w:r>
        <w:rPr>
          <w:rStyle w:val="Appelnotedebasdep"/>
        </w:rPr>
        <w:footnoteRef/>
      </w:r>
      <w:r w:rsidRPr="005F6071">
        <w:rPr>
          <w:lang w:val="es-ES"/>
        </w:rPr>
        <w:t xml:space="preserve"> </w:t>
      </w:r>
      <w:r>
        <w:rPr>
          <w:sz w:val="18"/>
          <w:szCs w:val="18"/>
          <w:lang w:val="es-ES"/>
        </w:rPr>
        <w:t xml:space="preserve">Para bienes, obras, plantas y servicios de no consultoría: PCL+IPO: precalificación e invitación a presentar ofertas; IPO: invitación a presentar ofertas; SC: solicitud de cotización; CD: contratación directa. </w:t>
      </w:r>
    </w:p>
    <w:p w14:paraId="6228F0CB" w14:textId="017DC9EE" w:rsidR="00E40E4C" w:rsidRPr="005F6071" w:rsidRDefault="00E40E4C" w:rsidP="00655606">
      <w:pPr>
        <w:pStyle w:val="Notedebasdepage"/>
        <w:jc w:val="both"/>
        <w:rPr>
          <w:lang w:val="es-ES"/>
        </w:rPr>
      </w:pPr>
      <w:r>
        <w:rPr>
          <w:sz w:val="18"/>
          <w:szCs w:val="18"/>
          <w:lang w:val="es-MX"/>
        </w:rPr>
        <w:t xml:space="preserve">   Para servicios de consultoría: SEI: solicitud de expresiones de interés; SC: solicitud de cotizaciones; CD: contratación directa.</w:t>
      </w:r>
    </w:p>
  </w:footnote>
  <w:footnote w:id="8">
    <w:p w14:paraId="6D480CD2" w14:textId="1DE6751A" w:rsidR="00E40E4C" w:rsidRPr="004F363F" w:rsidRDefault="00E40E4C" w:rsidP="00655606">
      <w:pPr>
        <w:pStyle w:val="Notedebasdepage"/>
        <w:jc w:val="both"/>
        <w:rPr>
          <w:sz w:val="18"/>
          <w:szCs w:val="18"/>
          <w:lang w:val="es-ES"/>
        </w:rPr>
      </w:pPr>
      <w:r>
        <w:rPr>
          <w:rStyle w:val="Appelnotedebasdep"/>
        </w:rPr>
        <w:footnoteRef/>
      </w:r>
      <w:r w:rsidRPr="004F363F">
        <w:rPr>
          <w:lang w:val="es-ES"/>
        </w:rPr>
        <w:t xml:space="preserve"> </w:t>
      </w:r>
      <w:r w:rsidRPr="004F363F">
        <w:rPr>
          <w:sz w:val="18"/>
          <w:szCs w:val="18"/>
          <w:lang w:val="es-ES"/>
        </w:rPr>
        <w:t>Para Servicios de Consultoría: SBCC: Selección Basada en Calidad y Costo; SBC: Selección Basada en Calidad; SBPF: Selección Basada en Presupuesto Fijo; SBMC: Selección Basada en Menor Costo.</w:t>
      </w:r>
    </w:p>
    <w:p w14:paraId="37EF51C6" w14:textId="7D0B79BB" w:rsidR="00E40E4C" w:rsidRPr="004F363F" w:rsidRDefault="00E40E4C" w:rsidP="00655606">
      <w:pPr>
        <w:pStyle w:val="Notedebasdepage"/>
        <w:jc w:val="both"/>
        <w:rPr>
          <w:sz w:val="18"/>
          <w:szCs w:val="18"/>
          <w:lang w:val="es-ES"/>
        </w:rPr>
      </w:pPr>
      <w:r w:rsidRPr="004F363F">
        <w:rPr>
          <w:sz w:val="18"/>
          <w:szCs w:val="18"/>
          <w:lang w:val="es-ES"/>
        </w:rPr>
        <w:t xml:space="preserve">  </w:t>
      </w:r>
      <w:r>
        <w:rPr>
          <w:sz w:val="18"/>
          <w:szCs w:val="18"/>
          <w:lang w:val="es-ES"/>
        </w:rPr>
        <w:t xml:space="preserve"> </w:t>
      </w:r>
      <w:r w:rsidRPr="004F363F">
        <w:rPr>
          <w:sz w:val="18"/>
          <w:szCs w:val="18"/>
          <w:lang w:val="es-ES"/>
        </w:rPr>
        <w:t>Para bienes, obras y servicios de no consultoría: el contrato se adjudicará al oferente cualificado cuya oferta técnica sea sustancialmente conform</w:t>
      </w:r>
      <w:r>
        <w:rPr>
          <w:sz w:val="18"/>
          <w:szCs w:val="18"/>
          <w:lang w:val="es-ES"/>
        </w:rPr>
        <w:t>e y sea la oferta evaluada más b</w:t>
      </w:r>
      <w:r w:rsidRPr="004F363F">
        <w:rPr>
          <w:sz w:val="18"/>
          <w:szCs w:val="18"/>
          <w:lang w:val="es-ES"/>
        </w:rPr>
        <w:t>aja</w:t>
      </w:r>
      <w:r>
        <w:rPr>
          <w:sz w:val="18"/>
          <w:szCs w:val="18"/>
          <w:lang w:val="es-ES"/>
        </w:rPr>
        <w:t xml:space="preserve"> (CQMB)</w:t>
      </w:r>
      <w:r w:rsidRPr="004F363F">
        <w:rPr>
          <w:sz w:val="18"/>
          <w:szCs w:val="18"/>
          <w:lang w:val="es-ES"/>
        </w:rPr>
        <w:t>; otros métodos de selección requieren la no objeción pre</w:t>
      </w:r>
      <w:r>
        <w:rPr>
          <w:sz w:val="18"/>
          <w:szCs w:val="18"/>
          <w:lang w:val="es-ES"/>
        </w:rPr>
        <w:t>v</w:t>
      </w:r>
      <w:r w:rsidRPr="004F363F">
        <w:rPr>
          <w:sz w:val="18"/>
          <w:szCs w:val="18"/>
          <w:lang w:val="es-ES"/>
        </w:rPr>
        <w:t>ia de la AFD.</w:t>
      </w:r>
    </w:p>
  </w:footnote>
  <w:footnote w:id="9">
    <w:p w14:paraId="4DB0E586" w14:textId="616BBE3E" w:rsidR="00E40E4C" w:rsidRPr="004F363F" w:rsidRDefault="00E40E4C" w:rsidP="00655606">
      <w:pPr>
        <w:pStyle w:val="Notedebasdepage"/>
        <w:jc w:val="both"/>
        <w:rPr>
          <w:lang w:val="es-ES"/>
        </w:rPr>
      </w:pPr>
      <w:r>
        <w:rPr>
          <w:rStyle w:val="Appelnotedebasdep"/>
        </w:rPr>
        <w:footnoteRef/>
      </w:r>
      <w:r w:rsidRPr="004F363F">
        <w:rPr>
          <w:lang w:val="es-ES"/>
        </w:rPr>
        <w:t xml:space="preserve"> </w:t>
      </w:r>
      <w:r w:rsidRPr="00542B37">
        <w:rPr>
          <w:sz w:val="18"/>
          <w:lang w:val="es-ES"/>
        </w:rPr>
        <w:t xml:space="preserve">Indicar “CNO” para revisiones a todas las etapas, “CNO-S” para revisiones previas simplificadas, “EXP” para revisiones </w:t>
      </w:r>
      <w:proofErr w:type="spellStart"/>
      <w:r w:rsidRPr="00542B37">
        <w:rPr>
          <w:sz w:val="18"/>
          <w:lang w:val="es-ES"/>
        </w:rPr>
        <w:t>expost</w:t>
      </w:r>
      <w:proofErr w:type="spellEnd"/>
      <w:r w:rsidRPr="00542B37">
        <w:rPr>
          <w:sz w:val="18"/>
          <w:lang w:val="es-ES"/>
        </w:rPr>
        <w:t>.</w:t>
      </w:r>
      <w:r w:rsidRPr="00E40E4C">
        <w:rPr>
          <w:lang w:val="es-ES"/>
        </w:rPr>
        <w:t xml:space="preserve"> </w:t>
      </w:r>
      <w:r w:rsidRPr="000073AF">
        <w:rPr>
          <w:sz w:val="18"/>
          <w:szCs w:val="18"/>
          <w:lang w:val="es-ES"/>
        </w:rPr>
        <w:t xml:space="preserve">En el caso de </w:t>
      </w:r>
      <w:r>
        <w:rPr>
          <w:sz w:val="18"/>
          <w:szCs w:val="18"/>
          <w:lang w:val="es-ES"/>
        </w:rPr>
        <w:t>“CNO</w:t>
      </w:r>
      <w:r w:rsidRPr="000073AF">
        <w:rPr>
          <w:sz w:val="18"/>
          <w:szCs w:val="18"/>
          <w:lang w:val="es-ES"/>
        </w:rPr>
        <w:t>-S</w:t>
      </w:r>
      <w:r>
        <w:rPr>
          <w:sz w:val="18"/>
          <w:szCs w:val="18"/>
          <w:lang w:val="es-ES"/>
        </w:rPr>
        <w:t>”, especificar la</w:t>
      </w:r>
      <w:r w:rsidRPr="000073AF">
        <w:rPr>
          <w:sz w:val="18"/>
          <w:szCs w:val="18"/>
          <w:lang w:val="es-ES"/>
        </w:rPr>
        <w:t xml:space="preserve">s </w:t>
      </w:r>
      <w:r>
        <w:rPr>
          <w:sz w:val="18"/>
          <w:szCs w:val="18"/>
          <w:lang w:val="es-ES"/>
        </w:rPr>
        <w:t>etapas</w:t>
      </w:r>
      <w:r w:rsidRPr="000073AF">
        <w:rPr>
          <w:sz w:val="18"/>
          <w:szCs w:val="18"/>
          <w:lang w:val="es-ES"/>
        </w:rPr>
        <w:t xml:space="preserve"> </w:t>
      </w:r>
      <w:r>
        <w:rPr>
          <w:sz w:val="18"/>
          <w:szCs w:val="18"/>
          <w:lang w:val="es-ES"/>
        </w:rPr>
        <w:t xml:space="preserve">sujetas a </w:t>
      </w:r>
      <w:r w:rsidR="00EF786B">
        <w:rPr>
          <w:sz w:val="18"/>
          <w:szCs w:val="18"/>
          <w:lang w:val="es-ES"/>
        </w:rPr>
        <w:t>revisiones:</w:t>
      </w:r>
      <w:r>
        <w:rPr>
          <w:sz w:val="18"/>
          <w:szCs w:val="18"/>
          <w:lang w:val="es-ES"/>
        </w:rPr>
        <w:t xml:space="preserve"> </w:t>
      </w:r>
      <w:r w:rsidR="00542B37">
        <w:rPr>
          <w:sz w:val="18"/>
          <w:szCs w:val="18"/>
          <w:lang w:val="es-ES"/>
        </w:rPr>
        <w:t xml:space="preserve">la etapa </w:t>
      </w:r>
      <w:r w:rsidR="00C73F4C">
        <w:rPr>
          <w:sz w:val="18"/>
          <w:szCs w:val="18"/>
          <w:lang w:val="es-ES"/>
        </w:rPr>
        <w:t xml:space="preserve">de </w:t>
      </w:r>
      <w:r w:rsidR="00542B37">
        <w:rPr>
          <w:sz w:val="18"/>
          <w:szCs w:val="18"/>
          <w:lang w:val="es-ES"/>
        </w:rPr>
        <w:t>d</w:t>
      </w:r>
      <w:r>
        <w:rPr>
          <w:sz w:val="18"/>
          <w:szCs w:val="18"/>
          <w:lang w:val="es-ES"/>
        </w:rPr>
        <w:t xml:space="preserve">ocumento de licitación </w:t>
      </w:r>
      <w:r w:rsidR="008119C2">
        <w:rPr>
          <w:sz w:val="18"/>
          <w:szCs w:val="18"/>
          <w:lang w:val="es-ES"/>
        </w:rPr>
        <w:t>+</w:t>
      </w:r>
      <w:r>
        <w:rPr>
          <w:sz w:val="18"/>
          <w:szCs w:val="18"/>
          <w:lang w:val="es-ES"/>
        </w:rPr>
        <w:t xml:space="preserve"> </w:t>
      </w:r>
      <w:r w:rsidR="00542B37">
        <w:rPr>
          <w:sz w:val="18"/>
          <w:szCs w:val="18"/>
          <w:lang w:val="es-ES"/>
        </w:rPr>
        <w:t xml:space="preserve">y le etapa </w:t>
      </w:r>
      <w:r w:rsidR="00C73F4C">
        <w:rPr>
          <w:sz w:val="18"/>
          <w:szCs w:val="18"/>
          <w:lang w:val="es-ES"/>
        </w:rPr>
        <w:t xml:space="preserve">de </w:t>
      </w:r>
      <w:r>
        <w:rPr>
          <w:sz w:val="18"/>
          <w:szCs w:val="18"/>
          <w:lang w:val="es-ES"/>
        </w:rPr>
        <w:t>contrato (L</w:t>
      </w:r>
      <w:r w:rsidR="008119C2">
        <w:rPr>
          <w:sz w:val="18"/>
          <w:szCs w:val="18"/>
          <w:lang w:val="es-ES"/>
        </w:rPr>
        <w:t>+</w:t>
      </w:r>
      <w:r w:rsidR="0042104A" w:rsidDel="0042104A">
        <w:rPr>
          <w:sz w:val="18"/>
          <w:szCs w:val="18"/>
          <w:lang w:val="es-ES"/>
        </w:rPr>
        <w:t xml:space="preserve"> </w:t>
      </w:r>
      <w:r w:rsidR="00C73F4C">
        <w:rPr>
          <w:sz w:val="18"/>
          <w:szCs w:val="18"/>
          <w:lang w:val="es-ES"/>
        </w:rPr>
        <w:t>+</w:t>
      </w:r>
      <w:r>
        <w:rPr>
          <w:sz w:val="18"/>
          <w:szCs w:val="18"/>
          <w:lang w:val="es-ES"/>
        </w:rPr>
        <w:t xml:space="preserve">C) o </w:t>
      </w:r>
      <w:r w:rsidRPr="000073AF">
        <w:rPr>
          <w:sz w:val="18"/>
          <w:szCs w:val="18"/>
          <w:lang w:val="es-ES"/>
        </w:rPr>
        <w:t xml:space="preserve">solo </w:t>
      </w:r>
      <w:r w:rsidR="00542B37">
        <w:rPr>
          <w:sz w:val="18"/>
          <w:szCs w:val="18"/>
          <w:lang w:val="es-ES"/>
        </w:rPr>
        <w:t xml:space="preserve">en la etapa de </w:t>
      </w:r>
      <w:r w:rsidRPr="000073AF">
        <w:rPr>
          <w:sz w:val="18"/>
          <w:szCs w:val="18"/>
          <w:lang w:val="es-ES"/>
        </w:rPr>
        <w:t>contrato (C)</w:t>
      </w:r>
      <w:r>
        <w:rPr>
          <w:sz w:val="18"/>
          <w:szCs w:val="18"/>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22BF2" w14:textId="78A221E9" w:rsidR="00A20101" w:rsidRPr="00F457DD" w:rsidRDefault="000F2757" w:rsidP="000F2757">
    <w:pPr>
      <w:pStyle w:val="En-tte"/>
      <w:pBdr>
        <w:bottom w:val="single" w:sz="4" w:space="1" w:color="auto"/>
      </w:pBdr>
      <w:tabs>
        <w:tab w:val="clear" w:pos="9072"/>
        <w:tab w:val="right" w:pos="9639"/>
      </w:tabs>
      <w:rPr>
        <w:lang w:val="es-ES"/>
      </w:rPr>
    </w:pPr>
    <w:r w:rsidRPr="000F2757">
      <w:rPr>
        <w:lang w:val="es-ES"/>
      </w:rPr>
      <w:t>Notas de Guía para el Usuario</w:t>
    </w:r>
    <w:r w:rsidRPr="000F2757">
      <w:rPr>
        <w:lang w:val="es-ES"/>
      </w:rPr>
      <w:tab/>
    </w:r>
    <w:r w:rsidRPr="000F2757">
      <w:rPr>
        <w:lang w:val="es-ES"/>
      </w:rPr>
      <w:tab/>
    </w:r>
    <w:r>
      <w:fldChar w:fldCharType="begin"/>
    </w:r>
    <w:r w:rsidRPr="000F2757">
      <w:rPr>
        <w:lang w:val="es-ES"/>
      </w:rPr>
      <w:instrText>PAGE   \* MERGEFORMAT</w:instrText>
    </w:r>
    <w:r>
      <w:fldChar w:fldCharType="separate"/>
    </w:r>
    <w:r w:rsidR="00EB2B3E">
      <w:rPr>
        <w:noProof/>
        <w:lang w:val="es-ES"/>
      </w:rPr>
      <w:t>ii</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CC69" w14:textId="1D6A2480" w:rsidR="00A20101" w:rsidRPr="000F2757" w:rsidRDefault="000F2757" w:rsidP="000F2757">
    <w:pPr>
      <w:pStyle w:val="En-tte"/>
      <w:pBdr>
        <w:bottom w:val="single" w:sz="4" w:space="1" w:color="auto"/>
      </w:pBdr>
      <w:tabs>
        <w:tab w:val="clear" w:pos="9072"/>
        <w:tab w:val="right" w:pos="9639"/>
      </w:tabs>
      <w:rPr>
        <w:lang w:val="es-ES"/>
      </w:rPr>
    </w:pPr>
    <w:r w:rsidRPr="000F2757">
      <w:rPr>
        <w:lang w:val="es-ES"/>
      </w:rPr>
      <w:t>Notas de Guía para el Usuario</w:t>
    </w:r>
    <w:r w:rsidRPr="000F2757">
      <w:rPr>
        <w:lang w:val="es-ES"/>
      </w:rPr>
      <w:tab/>
    </w:r>
    <w:r w:rsidRPr="000F2757">
      <w:rPr>
        <w:lang w:val="es-ES"/>
      </w:rPr>
      <w:tab/>
    </w:r>
    <w:r>
      <w:fldChar w:fldCharType="begin"/>
    </w:r>
    <w:r w:rsidRPr="000F2757">
      <w:rPr>
        <w:lang w:val="es-ES"/>
      </w:rPr>
      <w:instrText>PAGE   \* MERGEFORMAT</w:instrText>
    </w:r>
    <w:r>
      <w:fldChar w:fldCharType="separate"/>
    </w:r>
    <w:r w:rsidR="00EB2B3E">
      <w:rPr>
        <w:noProof/>
        <w:lang w:val="es-ES"/>
      </w:rPr>
      <w:t>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401C" w14:textId="364BFFB5" w:rsidR="00837A47" w:rsidRPr="00A20101" w:rsidRDefault="000F2757" w:rsidP="000F2757">
    <w:pPr>
      <w:pStyle w:val="En-tte"/>
      <w:pBdr>
        <w:bottom w:val="single" w:sz="4" w:space="1" w:color="auto"/>
      </w:pBdr>
      <w:rPr>
        <w:lang w:val="es-ES"/>
      </w:rPr>
    </w:pPr>
    <w:r w:rsidRPr="000F2757">
      <w:rPr>
        <w:lang w:val="es-ES"/>
      </w:rPr>
      <w:t xml:space="preserve">Plan de Adquisiciones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F89F3" w14:textId="4988D43F" w:rsidR="00837A47" w:rsidRPr="00A20101" w:rsidRDefault="000F2757" w:rsidP="000F2757">
    <w:pPr>
      <w:pStyle w:val="En-tte"/>
      <w:pBdr>
        <w:bottom w:val="single" w:sz="4" w:space="1" w:color="auto"/>
      </w:pBdr>
      <w:rPr>
        <w:lang w:val="es-ES"/>
      </w:rPr>
    </w:pPr>
    <w:r w:rsidRPr="000F2757">
      <w:rPr>
        <w:lang w:val="es-ES"/>
      </w:rPr>
      <w:t xml:space="preserve">Plan de Adquisiciones </w:t>
    </w:r>
    <w:r w:rsidR="00837A47" w:rsidRPr="00A20101">
      <w:rPr>
        <w:lang w:val="es-ES"/>
      </w:rPr>
      <w:tab/>
    </w:r>
    <w:r w:rsidR="00837A47" w:rsidRPr="00A20101">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4612F"/>
    <w:multiLevelType w:val="hybridMultilevel"/>
    <w:tmpl w:val="0134939E"/>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15:restartNumberingAfterBreak="0">
    <w:nsid w:val="3CFB173B"/>
    <w:multiLevelType w:val="multilevel"/>
    <w:tmpl w:val="09CC566A"/>
    <w:lvl w:ilvl="0">
      <w:start w:val="1"/>
      <w:numFmt w:val="decimal"/>
      <w:lvlText w:val="%1"/>
      <w:lvlJc w:val="left"/>
      <w:pPr>
        <w:ind w:left="435" w:hanging="435"/>
      </w:pPr>
      <w:rPr>
        <w:rFonts w:hint="default"/>
        <w:u w:val="none"/>
      </w:rPr>
    </w:lvl>
    <w:lvl w:ilvl="1">
      <w:start w:val="1"/>
      <w:numFmt w:val="decimal"/>
      <w:pStyle w:val="Titre11"/>
      <w:lvlText w:val="%2."/>
      <w:lvlJc w:val="left"/>
      <w:pPr>
        <w:ind w:left="1428" w:hanging="435"/>
      </w:pPr>
      <w:rPr>
        <w:rFonts w:hint="default"/>
        <w:u w:val="none"/>
        <w:lang w:val="en-US"/>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2" w15:restartNumberingAfterBreak="0">
    <w:nsid w:val="3D3A278E"/>
    <w:multiLevelType w:val="hybridMultilevel"/>
    <w:tmpl w:val="5C00EB74"/>
    <w:lvl w:ilvl="0" w:tplc="DBAAA3E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21108E"/>
    <w:multiLevelType w:val="multilevel"/>
    <w:tmpl w:val="6ED0B96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70BA547C"/>
    <w:multiLevelType w:val="multilevel"/>
    <w:tmpl w:val="F424AA82"/>
    <w:lvl w:ilvl="0">
      <w:start w:val="1"/>
      <w:numFmt w:val="decimal"/>
      <w:lvlText w:val="%1."/>
      <w:lvlJc w:val="left"/>
      <w:pPr>
        <w:ind w:left="360" w:hanging="360"/>
      </w:pPr>
    </w:lvl>
    <w:lvl w:ilvl="1">
      <w:start w:val="1"/>
      <w:numFmt w:val="decimal"/>
      <w:lvlText w:val="%1.%2."/>
      <w:lvlJc w:val="left"/>
      <w:pPr>
        <w:ind w:left="1141"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A60C5F"/>
    <w:multiLevelType w:val="hybridMultilevel"/>
    <w:tmpl w:val="68389780"/>
    <w:lvl w:ilvl="0" w:tplc="9354898C">
      <w:start w:val="1"/>
      <w:numFmt w:val="upperLetter"/>
      <w:pStyle w:val="Letter1"/>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num w:numId="1">
    <w:abstractNumId w:val="1"/>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4"/>
  </w:num>
  <w:num w:numId="8">
    <w:abstractNumId w:val="4"/>
  </w:num>
  <w:num w:numId="9">
    <w:abstractNumId w:val="4"/>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C2"/>
    <w:rsid w:val="00003C9C"/>
    <w:rsid w:val="000073AF"/>
    <w:rsid w:val="00020B62"/>
    <w:rsid w:val="0003270F"/>
    <w:rsid w:val="00052DD1"/>
    <w:rsid w:val="000666B1"/>
    <w:rsid w:val="000B222D"/>
    <w:rsid w:val="000B695B"/>
    <w:rsid w:val="000D2F16"/>
    <w:rsid w:val="000F2757"/>
    <w:rsid w:val="0010117F"/>
    <w:rsid w:val="00115BF2"/>
    <w:rsid w:val="00117DF4"/>
    <w:rsid w:val="00132591"/>
    <w:rsid w:val="00153308"/>
    <w:rsid w:val="0015577D"/>
    <w:rsid w:val="00162433"/>
    <w:rsid w:val="001805F8"/>
    <w:rsid w:val="001810F6"/>
    <w:rsid w:val="001A2314"/>
    <w:rsid w:val="001A752A"/>
    <w:rsid w:val="00207391"/>
    <w:rsid w:val="0021661F"/>
    <w:rsid w:val="00240472"/>
    <w:rsid w:val="00242F15"/>
    <w:rsid w:val="002501F3"/>
    <w:rsid w:val="00252C6F"/>
    <w:rsid w:val="002558AB"/>
    <w:rsid w:val="00275000"/>
    <w:rsid w:val="00285CFB"/>
    <w:rsid w:val="002A10D9"/>
    <w:rsid w:val="002F35C3"/>
    <w:rsid w:val="002F765D"/>
    <w:rsid w:val="0032240B"/>
    <w:rsid w:val="003270E8"/>
    <w:rsid w:val="00334BD5"/>
    <w:rsid w:val="0033504C"/>
    <w:rsid w:val="0034439A"/>
    <w:rsid w:val="00345A48"/>
    <w:rsid w:val="003803F0"/>
    <w:rsid w:val="003A03D0"/>
    <w:rsid w:val="003C35A8"/>
    <w:rsid w:val="003F0035"/>
    <w:rsid w:val="003F3C59"/>
    <w:rsid w:val="0042104A"/>
    <w:rsid w:val="004338A6"/>
    <w:rsid w:val="00452A31"/>
    <w:rsid w:val="00482C80"/>
    <w:rsid w:val="004A591D"/>
    <w:rsid w:val="004A7F29"/>
    <w:rsid w:val="004B5983"/>
    <w:rsid w:val="004C748B"/>
    <w:rsid w:val="004F363F"/>
    <w:rsid w:val="00532157"/>
    <w:rsid w:val="0053360D"/>
    <w:rsid w:val="00536842"/>
    <w:rsid w:val="0054034A"/>
    <w:rsid w:val="00542B37"/>
    <w:rsid w:val="00550427"/>
    <w:rsid w:val="00577C42"/>
    <w:rsid w:val="005866B6"/>
    <w:rsid w:val="005B6EAE"/>
    <w:rsid w:val="005C5B0E"/>
    <w:rsid w:val="005F6071"/>
    <w:rsid w:val="00655606"/>
    <w:rsid w:val="00665DC5"/>
    <w:rsid w:val="006A110D"/>
    <w:rsid w:val="006A3F22"/>
    <w:rsid w:val="006A6928"/>
    <w:rsid w:val="006B0616"/>
    <w:rsid w:val="006D5159"/>
    <w:rsid w:val="006E0F4D"/>
    <w:rsid w:val="006E45B5"/>
    <w:rsid w:val="00717317"/>
    <w:rsid w:val="007211B8"/>
    <w:rsid w:val="00724FC2"/>
    <w:rsid w:val="00730FA3"/>
    <w:rsid w:val="007728C6"/>
    <w:rsid w:val="00780A1C"/>
    <w:rsid w:val="007D5BD8"/>
    <w:rsid w:val="007E35C0"/>
    <w:rsid w:val="007E41C5"/>
    <w:rsid w:val="008119C2"/>
    <w:rsid w:val="00815AFA"/>
    <w:rsid w:val="00816D90"/>
    <w:rsid w:val="00822163"/>
    <w:rsid w:val="008253BC"/>
    <w:rsid w:val="0083161C"/>
    <w:rsid w:val="00837A47"/>
    <w:rsid w:val="00842648"/>
    <w:rsid w:val="00844C38"/>
    <w:rsid w:val="008506EB"/>
    <w:rsid w:val="00856156"/>
    <w:rsid w:val="00865BD0"/>
    <w:rsid w:val="008723C7"/>
    <w:rsid w:val="00877E0D"/>
    <w:rsid w:val="00932198"/>
    <w:rsid w:val="00945A5A"/>
    <w:rsid w:val="00947ACB"/>
    <w:rsid w:val="00954B58"/>
    <w:rsid w:val="00962C3C"/>
    <w:rsid w:val="00982390"/>
    <w:rsid w:val="00982FC2"/>
    <w:rsid w:val="0099470D"/>
    <w:rsid w:val="00997B2C"/>
    <w:rsid w:val="009B184F"/>
    <w:rsid w:val="009B33C1"/>
    <w:rsid w:val="009B7AFC"/>
    <w:rsid w:val="009D04DB"/>
    <w:rsid w:val="009F2686"/>
    <w:rsid w:val="009F6E9A"/>
    <w:rsid w:val="00A01A94"/>
    <w:rsid w:val="00A07235"/>
    <w:rsid w:val="00A20101"/>
    <w:rsid w:val="00A37F63"/>
    <w:rsid w:val="00A43014"/>
    <w:rsid w:val="00A435F3"/>
    <w:rsid w:val="00A46784"/>
    <w:rsid w:val="00A542BE"/>
    <w:rsid w:val="00A6650F"/>
    <w:rsid w:val="00A71AC5"/>
    <w:rsid w:val="00A81A59"/>
    <w:rsid w:val="00A9704B"/>
    <w:rsid w:val="00AA76AA"/>
    <w:rsid w:val="00AB1296"/>
    <w:rsid w:val="00AD2EF9"/>
    <w:rsid w:val="00AD5350"/>
    <w:rsid w:val="00AE5DD1"/>
    <w:rsid w:val="00AF0E6A"/>
    <w:rsid w:val="00AF3F37"/>
    <w:rsid w:val="00AF52F4"/>
    <w:rsid w:val="00B149C8"/>
    <w:rsid w:val="00B16DC4"/>
    <w:rsid w:val="00B23CC5"/>
    <w:rsid w:val="00B27F0A"/>
    <w:rsid w:val="00B311EE"/>
    <w:rsid w:val="00B40963"/>
    <w:rsid w:val="00B55DC5"/>
    <w:rsid w:val="00B9151C"/>
    <w:rsid w:val="00BA7DF9"/>
    <w:rsid w:val="00BA7E6B"/>
    <w:rsid w:val="00BB4446"/>
    <w:rsid w:val="00BB773F"/>
    <w:rsid w:val="00BD2426"/>
    <w:rsid w:val="00BE46E2"/>
    <w:rsid w:val="00BE5683"/>
    <w:rsid w:val="00BF464D"/>
    <w:rsid w:val="00C012E5"/>
    <w:rsid w:val="00C01952"/>
    <w:rsid w:val="00C21013"/>
    <w:rsid w:val="00C634CC"/>
    <w:rsid w:val="00C702FE"/>
    <w:rsid w:val="00C72705"/>
    <w:rsid w:val="00C73F4C"/>
    <w:rsid w:val="00C77C82"/>
    <w:rsid w:val="00C9348D"/>
    <w:rsid w:val="00CA0402"/>
    <w:rsid w:val="00CB136B"/>
    <w:rsid w:val="00CB4514"/>
    <w:rsid w:val="00CC504A"/>
    <w:rsid w:val="00CC5BAC"/>
    <w:rsid w:val="00CD559E"/>
    <w:rsid w:val="00CF26DA"/>
    <w:rsid w:val="00D10E97"/>
    <w:rsid w:val="00D3302F"/>
    <w:rsid w:val="00D61991"/>
    <w:rsid w:val="00D67CD6"/>
    <w:rsid w:val="00D97A4D"/>
    <w:rsid w:val="00DA39E6"/>
    <w:rsid w:val="00DC0465"/>
    <w:rsid w:val="00DC0982"/>
    <w:rsid w:val="00DD5AED"/>
    <w:rsid w:val="00DE5089"/>
    <w:rsid w:val="00DE7B0A"/>
    <w:rsid w:val="00DF53D0"/>
    <w:rsid w:val="00E04BC4"/>
    <w:rsid w:val="00E2228C"/>
    <w:rsid w:val="00E40E4C"/>
    <w:rsid w:val="00E47EAC"/>
    <w:rsid w:val="00E572EB"/>
    <w:rsid w:val="00EA5EA6"/>
    <w:rsid w:val="00EB2B3E"/>
    <w:rsid w:val="00EC1FE8"/>
    <w:rsid w:val="00ED08B8"/>
    <w:rsid w:val="00EF6F4B"/>
    <w:rsid w:val="00EF73FF"/>
    <w:rsid w:val="00EF786B"/>
    <w:rsid w:val="00F13A24"/>
    <w:rsid w:val="00F26813"/>
    <w:rsid w:val="00F26B1F"/>
    <w:rsid w:val="00F457DD"/>
    <w:rsid w:val="00F65AC6"/>
    <w:rsid w:val="00F65FDE"/>
    <w:rsid w:val="00F71149"/>
    <w:rsid w:val="00F867DF"/>
    <w:rsid w:val="00F94F8E"/>
    <w:rsid w:val="00FE2FFF"/>
    <w:rsid w:val="00FE4FCB"/>
    <w:rsid w:val="00FF0F2C"/>
    <w:rsid w:val="00FF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43B74"/>
  <w15:docId w15:val="{6784645B-9EE8-4C2E-B54E-39994A1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FC2"/>
    <w:pPr>
      <w:spacing w:after="0" w:line="240" w:lineRule="auto"/>
    </w:pPr>
    <w:rPr>
      <w:rFonts w:ascii="Times New Roman" w:eastAsia="Times New Roman" w:hAnsi="Times New Roman" w:cs="Arial"/>
      <w:sz w:val="24"/>
      <w:szCs w:val="24"/>
      <w:lang w:val="fr-FR" w:eastAsia="fr-FR"/>
    </w:rPr>
  </w:style>
  <w:style w:type="paragraph" w:styleId="Titre1">
    <w:name w:val="heading 1"/>
    <w:basedOn w:val="Normal"/>
    <w:next w:val="Normal"/>
    <w:link w:val="Titre1Car"/>
    <w:qFormat/>
    <w:rsid w:val="00E2228C"/>
    <w:pPr>
      <w:keepNext/>
      <w:widowControl w:val="0"/>
      <w:jc w:val="center"/>
      <w:outlineLvl w:val="0"/>
    </w:pPr>
    <w:rPr>
      <w:rFonts w:cs="Times New Roman"/>
      <w:b/>
      <w:sz w:val="32"/>
      <w:szCs w:val="32"/>
      <w:lang w:val="en-US" w:eastAsia="en-US"/>
    </w:rPr>
  </w:style>
  <w:style w:type="paragraph" w:styleId="Titre2">
    <w:name w:val="heading 2"/>
    <w:basedOn w:val="Normal"/>
    <w:next w:val="Normal"/>
    <w:link w:val="Titre2Car"/>
    <w:uiPriority w:val="9"/>
    <w:semiHidden/>
    <w:unhideWhenUsed/>
    <w:qFormat/>
    <w:rsid w:val="00C634C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2228C"/>
    <w:rPr>
      <w:rFonts w:ascii="Times New Roman" w:eastAsia="Times New Roman" w:hAnsi="Times New Roman" w:cs="Times New Roman"/>
      <w:b/>
      <w:sz w:val="32"/>
      <w:szCs w:val="32"/>
    </w:rPr>
  </w:style>
  <w:style w:type="paragraph" w:styleId="En-tte">
    <w:name w:val="header"/>
    <w:basedOn w:val="Normal"/>
    <w:link w:val="En-tteCar"/>
    <w:uiPriority w:val="99"/>
    <w:rsid w:val="00E2228C"/>
    <w:pPr>
      <w:tabs>
        <w:tab w:val="center" w:pos="4536"/>
        <w:tab w:val="right" w:pos="9072"/>
      </w:tabs>
    </w:pPr>
  </w:style>
  <w:style w:type="character" w:customStyle="1" w:styleId="En-tteCar">
    <w:name w:val="En-tête Car"/>
    <w:basedOn w:val="Policepardfaut"/>
    <w:link w:val="En-tte"/>
    <w:uiPriority w:val="99"/>
    <w:rsid w:val="00E2228C"/>
    <w:rPr>
      <w:rFonts w:ascii="Times New Roman" w:eastAsia="Times New Roman" w:hAnsi="Times New Roman" w:cs="Arial"/>
      <w:sz w:val="24"/>
      <w:szCs w:val="24"/>
      <w:lang w:val="fr-FR" w:eastAsia="fr-FR"/>
    </w:rPr>
  </w:style>
  <w:style w:type="paragraph" w:styleId="Pieddepage">
    <w:name w:val="footer"/>
    <w:basedOn w:val="Normal"/>
    <w:link w:val="PieddepageCar"/>
    <w:uiPriority w:val="99"/>
    <w:rsid w:val="00E2228C"/>
    <w:pPr>
      <w:tabs>
        <w:tab w:val="center" w:pos="4536"/>
        <w:tab w:val="right" w:pos="9072"/>
      </w:tabs>
    </w:pPr>
  </w:style>
  <w:style w:type="character" w:customStyle="1" w:styleId="PieddepageCar">
    <w:name w:val="Pied de page Car"/>
    <w:basedOn w:val="Policepardfaut"/>
    <w:link w:val="Pieddepage"/>
    <w:uiPriority w:val="99"/>
    <w:rsid w:val="00E2228C"/>
    <w:rPr>
      <w:rFonts w:ascii="Times New Roman" w:eastAsia="Times New Roman" w:hAnsi="Times New Roman" w:cs="Arial"/>
      <w:sz w:val="24"/>
      <w:szCs w:val="24"/>
      <w:lang w:val="fr-FR" w:eastAsia="fr-FR"/>
    </w:rPr>
  </w:style>
  <w:style w:type="character" w:styleId="Appelnotedebasdep">
    <w:name w:val="footnote reference"/>
    <w:semiHidden/>
    <w:rsid w:val="00EF73FF"/>
    <w:rPr>
      <w:sz w:val="20"/>
      <w:vertAlign w:val="superscript"/>
    </w:rPr>
  </w:style>
  <w:style w:type="paragraph" w:styleId="Notedebasdepage">
    <w:name w:val="footnote text"/>
    <w:basedOn w:val="Normal"/>
    <w:link w:val="NotedebasdepageCar"/>
    <w:semiHidden/>
    <w:rsid w:val="00EF73FF"/>
    <w:pPr>
      <w:widowControl w:val="0"/>
    </w:pPr>
    <w:rPr>
      <w:rFonts w:cs="Times New Roman"/>
      <w:sz w:val="20"/>
      <w:szCs w:val="20"/>
      <w:lang w:val="en-US" w:eastAsia="en-US"/>
    </w:rPr>
  </w:style>
  <w:style w:type="character" w:customStyle="1" w:styleId="NotedebasdepageCar">
    <w:name w:val="Note de bas de page Car"/>
    <w:basedOn w:val="Policepardfaut"/>
    <w:link w:val="Notedebasdepage"/>
    <w:semiHidden/>
    <w:rsid w:val="00EF73FF"/>
    <w:rPr>
      <w:rFonts w:ascii="Times New Roman" w:eastAsia="Times New Roman" w:hAnsi="Times New Roman" w:cs="Times New Roman"/>
      <w:sz w:val="20"/>
      <w:szCs w:val="20"/>
    </w:rPr>
  </w:style>
  <w:style w:type="paragraph" w:styleId="Paragraphedeliste">
    <w:name w:val="List Paragraph"/>
    <w:basedOn w:val="Normal"/>
    <w:link w:val="ParagraphedelisteCar"/>
    <w:uiPriority w:val="34"/>
    <w:qFormat/>
    <w:rsid w:val="00EF73FF"/>
    <w:pPr>
      <w:ind w:left="720"/>
      <w:contextualSpacing/>
    </w:pPr>
  </w:style>
  <w:style w:type="paragraph" w:customStyle="1" w:styleId="Titre11">
    <w:name w:val="Titre 11"/>
    <w:basedOn w:val="Paragraphedeliste"/>
    <w:link w:val="Heading1Car"/>
    <w:qFormat/>
    <w:rsid w:val="00EF73FF"/>
    <w:pPr>
      <w:numPr>
        <w:ilvl w:val="1"/>
        <w:numId w:val="1"/>
      </w:numPr>
      <w:tabs>
        <w:tab w:val="left" w:pos="709"/>
      </w:tabs>
      <w:spacing w:after="142" w:line="240" w:lineRule="atLeast"/>
      <w:contextualSpacing w:val="0"/>
      <w:outlineLvl w:val="0"/>
    </w:pPr>
    <w:rPr>
      <w:rFonts w:cs="Times New Roman"/>
      <w:b/>
      <w:szCs w:val="22"/>
      <w:u w:val="single"/>
      <w:lang w:val="en-GB"/>
    </w:rPr>
  </w:style>
  <w:style w:type="paragraph" w:customStyle="1" w:styleId="Titre21">
    <w:name w:val="Titre 21"/>
    <w:basedOn w:val="Paragraphedeliste"/>
    <w:link w:val="Heading2Car"/>
    <w:qFormat/>
    <w:rsid w:val="00EF73FF"/>
    <w:pPr>
      <w:tabs>
        <w:tab w:val="left" w:pos="884"/>
      </w:tabs>
      <w:ind w:left="0"/>
    </w:pPr>
    <w:rPr>
      <w:b/>
      <w:lang w:val="en-US"/>
    </w:rPr>
  </w:style>
  <w:style w:type="character" w:customStyle="1" w:styleId="ParagraphedelisteCar">
    <w:name w:val="Paragraphe de liste Car"/>
    <w:link w:val="Paragraphedeliste"/>
    <w:uiPriority w:val="34"/>
    <w:rsid w:val="00EF73FF"/>
    <w:rPr>
      <w:rFonts w:ascii="Times New Roman" w:eastAsia="Times New Roman" w:hAnsi="Times New Roman" w:cs="Arial"/>
      <w:sz w:val="24"/>
      <w:szCs w:val="24"/>
      <w:lang w:val="fr-FR" w:eastAsia="fr-FR"/>
    </w:rPr>
  </w:style>
  <w:style w:type="character" w:customStyle="1" w:styleId="Heading1Car">
    <w:name w:val="Heading 1 Car"/>
    <w:link w:val="Titre11"/>
    <w:rsid w:val="00EF73FF"/>
    <w:rPr>
      <w:rFonts w:ascii="Times New Roman" w:eastAsia="Times New Roman" w:hAnsi="Times New Roman" w:cs="Times New Roman"/>
      <w:b/>
      <w:sz w:val="24"/>
      <w:u w:val="single"/>
      <w:lang w:val="en-GB" w:eastAsia="fr-FR"/>
    </w:rPr>
  </w:style>
  <w:style w:type="character" w:customStyle="1" w:styleId="Heading2Car">
    <w:name w:val="Heading 2 Car"/>
    <w:link w:val="Titre21"/>
    <w:rsid w:val="00EF73FF"/>
    <w:rPr>
      <w:rFonts w:ascii="Times New Roman" w:eastAsia="Times New Roman" w:hAnsi="Times New Roman" w:cs="Arial"/>
      <w:b/>
      <w:sz w:val="24"/>
      <w:szCs w:val="24"/>
      <w:lang w:eastAsia="fr-FR"/>
    </w:rPr>
  </w:style>
  <w:style w:type="paragraph" w:customStyle="1" w:styleId="Letter1">
    <w:name w:val="Letter 1"/>
    <w:basedOn w:val="Paragraphedeliste"/>
    <w:link w:val="Letter1Car"/>
    <w:qFormat/>
    <w:rsid w:val="00EF73FF"/>
    <w:pPr>
      <w:numPr>
        <w:numId w:val="5"/>
      </w:numPr>
      <w:spacing w:after="142" w:line="240" w:lineRule="atLeast"/>
      <w:jc w:val="center"/>
    </w:pPr>
    <w:rPr>
      <w:rFonts w:cs="Times New Roman"/>
      <w:b/>
      <w:lang w:val="en-GB"/>
    </w:rPr>
  </w:style>
  <w:style w:type="character" w:customStyle="1" w:styleId="Letter1Car">
    <w:name w:val="Letter 1 Car"/>
    <w:link w:val="Letter1"/>
    <w:rsid w:val="00EF73FF"/>
    <w:rPr>
      <w:rFonts w:ascii="Times New Roman" w:eastAsia="Times New Roman" w:hAnsi="Times New Roman" w:cs="Times New Roman"/>
      <w:b/>
      <w:sz w:val="24"/>
      <w:szCs w:val="24"/>
      <w:lang w:val="en-GB" w:eastAsia="fr-FR"/>
    </w:rPr>
  </w:style>
  <w:style w:type="character" w:customStyle="1" w:styleId="prosa">
    <w:name w:val="prosa"/>
    <w:basedOn w:val="Policepardfaut"/>
    <w:rsid w:val="00C012E5"/>
  </w:style>
  <w:style w:type="character" w:customStyle="1" w:styleId="Titre2Car">
    <w:name w:val="Titre 2 Car"/>
    <w:basedOn w:val="Policepardfaut"/>
    <w:link w:val="Titre2"/>
    <w:uiPriority w:val="9"/>
    <w:semiHidden/>
    <w:rsid w:val="00C634CC"/>
    <w:rPr>
      <w:rFonts w:asciiTheme="majorHAnsi" w:eastAsiaTheme="majorEastAsia" w:hAnsiTheme="majorHAnsi" w:cstheme="majorBidi"/>
      <w:color w:val="2E74B5" w:themeColor="accent1" w:themeShade="BF"/>
      <w:sz w:val="26"/>
      <w:szCs w:val="26"/>
      <w:lang w:val="fr-FR" w:eastAsia="fr-FR"/>
    </w:rPr>
  </w:style>
  <w:style w:type="paragraph" w:styleId="Notedefin">
    <w:name w:val="endnote text"/>
    <w:basedOn w:val="Normal"/>
    <w:link w:val="NotedefinCar"/>
    <w:uiPriority w:val="99"/>
    <w:semiHidden/>
    <w:unhideWhenUsed/>
    <w:rsid w:val="00CC5BAC"/>
    <w:rPr>
      <w:sz w:val="20"/>
      <w:szCs w:val="20"/>
    </w:rPr>
  </w:style>
  <w:style w:type="character" w:customStyle="1" w:styleId="NotedefinCar">
    <w:name w:val="Note de fin Car"/>
    <w:basedOn w:val="Policepardfaut"/>
    <w:link w:val="Notedefin"/>
    <w:uiPriority w:val="99"/>
    <w:semiHidden/>
    <w:rsid w:val="00CC5BAC"/>
    <w:rPr>
      <w:rFonts w:ascii="Times New Roman" w:eastAsia="Times New Roman" w:hAnsi="Times New Roman" w:cs="Arial"/>
      <w:sz w:val="20"/>
      <w:szCs w:val="20"/>
      <w:lang w:val="fr-FR" w:eastAsia="fr-FR"/>
    </w:rPr>
  </w:style>
  <w:style w:type="character" w:styleId="Appeldenotedefin">
    <w:name w:val="endnote reference"/>
    <w:basedOn w:val="Policepardfaut"/>
    <w:uiPriority w:val="99"/>
    <w:semiHidden/>
    <w:unhideWhenUsed/>
    <w:rsid w:val="00CC5BAC"/>
    <w:rPr>
      <w:vertAlign w:val="superscript"/>
    </w:rPr>
  </w:style>
  <w:style w:type="paragraph" w:styleId="Textedebulles">
    <w:name w:val="Balloon Text"/>
    <w:basedOn w:val="Normal"/>
    <w:link w:val="TextedebullesCar"/>
    <w:uiPriority w:val="99"/>
    <w:semiHidden/>
    <w:unhideWhenUsed/>
    <w:rsid w:val="008723C7"/>
    <w:rPr>
      <w:rFonts w:ascii="Tahoma" w:hAnsi="Tahoma" w:cs="Tahoma"/>
      <w:sz w:val="16"/>
      <w:szCs w:val="16"/>
    </w:rPr>
  </w:style>
  <w:style w:type="character" w:customStyle="1" w:styleId="TextedebullesCar">
    <w:name w:val="Texte de bulles Car"/>
    <w:basedOn w:val="Policepardfaut"/>
    <w:link w:val="Textedebulles"/>
    <w:uiPriority w:val="99"/>
    <w:semiHidden/>
    <w:rsid w:val="008723C7"/>
    <w:rPr>
      <w:rFonts w:ascii="Tahoma" w:eastAsia="Times New Roman" w:hAnsi="Tahoma" w:cs="Tahoma"/>
      <w:sz w:val="16"/>
      <w:szCs w:val="16"/>
      <w:lang w:val="fr-FR" w:eastAsia="fr-FR"/>
    </w:rPr>
  </w:style>
  <w:style w:type="character" w:styleId="Marquedecommentaire">
    <w:name w:val="annotation reference"/>
    <w:basedOn w:val="Policepardfaut"/>
    <w:uiPriority w:val="99"/>
    <w:semiHidden/>
    <w:unhideWhenUsed/>
    <w:rsid w:val="00482C80"/>
    <w:rPr>
      <w:sz w:val="16"/>
      <w:szCs w:val="16"/>
    </w:rPr>
  </w:style>
  <w:style w:type="paragraph" w:styleId="Commentaire">
    <w:name w:val="annotation text"/>
    <w:basedOn w:val="Normal"/>
    <w:link w:val="CommentaireCar"/>
    <w:uiPriority w:val="99"/>
    <w:semiHidden/>
    <w:unhideWhenUsed/>
    <w:rsid w:val="00482C80"/>
    <w:rPr>
      <w:sz w:val="20"/>
      <w:szCs w:val="20"/>
    </w:rPr>
  </w:style>
  <w:style w:type="character" w:customStyle="1" w:styleId="CommentaireCar">
    <w:name w:val="Commentaire Car"/>
    <w:basedOn w:val="Policepardfaut"/>
    <w:link w:val="Commentaire"/>
    <w:uiPriority w:val="99"/>
    <w:semiHidden/>
    <w:rsid w:val="00482C80"/>
    <w:rPr>
      <w:rFonts w:ascii="Times New Roman" w:eastAsia="Times New Roman" w:hAnsi="Times New Roman" w:cs="Arial"/>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482C80"/>
    <w:rPr>
      <w:b/>
      <w:bCs/>
    </w:rPr>
  </w:style>
  <w:style w:type="character" w:customStyle="1" w:styleId="ObjetducommentaireCar">
    <w:name w:val="Objet du commentaire Car"/>
    <w:basedOn w:val="CommentaireCar"/>
    <w:link w:val="Objetducommentaire"/>
    <w:uiPriority w:val="99"/>
    <w:semiHidden/>
    <w:rsid w:val="00482C80"/>
    <w:rPr>
      <w:rFonts w:ascii="Times New Roman" w:eastAsia="Times New Roman" w:hAnsi="Times New Roman" w:cs="Arial"/>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afd.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C2492-1C02-436F-A2C6-6D05471E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1296</Words>
  <Characters>7131</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AFD</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R</dc:creator>
  <cp:lastModifiedBy>SCAPPATICCI Elena</cp:lastModifiedBy>
  <cp:revision>2</cp:revision>
  <cp:lastPrinted>2024-10-09T08:46:00Z</cp:lastPrinted>
  <dcterms:created xsi:type="dcterms:W3CDTF">2024-10-09T09:32:00Z</dcterms:created>
  <dcterms:modified xsi:type="dcterms:W3CDTF">2024-10-09T09:32:00Z</dcterms:modified>
</cp:coreProperties>
</file>